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FAD7" w14:textId="5D793352" w:rsidR="00C14529" w:rsidRDefault="00C14529" w:rsidP="00C14529">
      <w:pPr>
        <w:pStyle w:val="Kopfzeile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Die </w:t>
      </w:r>
      <w:r>
        <w:rPr>
          <w:noProof/>
          <w:sz w:val="36"/>
          <w:szCs w:val="36"/>
        </w:rPr>
        <w:t>Evaluations</w:t>
      </w:r>
      <w:r>
        <w:rPr>
          <w:noProof/>
          <w:sz w:val="36"/>
          <w:szCs w:val="36"/>
        </w:rPr>
        <w:t xml:space="preserve">-Phase des </w:t>
      </w:r>
      <w:r w:rsidRPr="00D31022">
        <w:rPr>
          <w:noProof/>
          <w:sz w:val="36"/>
          <w:szCs w:val="36"/>
        </w:rPr>
        <w:t>ADDIE-Modell</w:t>
      </w:r>
      <w:r>
        <w:rPr>
          <w:noProof/>
          <w:sz w:val="36"/>
          <w:szCs w:val="36"/>
        </w:rPr>
        <w:t>s</w:t>
      </w:r>
    </w:p>
    <w:p w14:paraId="03C9CEBE" w14:textId="77777777" w:rsidR="00C14529" w:rsidRDefault="00C14529" w:rsidP="00C14529">
      <w:pPr>
        <w:pStyle w:val="Kopfzeile"/>
        <w:jc w:val="left"/>
        <w:rPr>
          <w:noProof/>
        </w:rPr>
      </w:pPr>
    </w:p>
    <w:p w14:paraId="700D112F" w14:textId="77777777" w:rsidR="00C14529" w:rsidRDefault="00C14529" w:rsidP="00C14529">
      <w:r>
        <w:t>Das ADDIE-Modell</w:t>
      </w:r>
      <w:r>
        <w:rPr>
          <w:rStyle w:val="Funotenzeichen"/>
        </w:rPr>
        <w:footnoteReference w:id="1"/>
      </w:r>
      <w:r>
        <w:t xml:space="preserve"> ist e</w:t>
      </w:r>
      <w:r w:rsidRPr="00E14705">
        <w:t xml:space="preserve">in Produktentwicklungs-Paradigma. </w:t>
      </w:r>
      <w:r>
        <w:t>Es hilft beim Konzeptionieren von Trainings, Schulungen oder E-</w:t>
      </w:r>
      <w:proofErr w:type="spellStart"/>
      <w:r>
        <w:t>Learnings</w:t>
      </w:r>
      <w:proofErr w:type="spellEnd"/>
      <w:r>
        <w:t xml:space="preserve">. Es ist eine Gedankenstütze. ADDIE ist ein Akronym. </w:t>
      </w:r>
      <w:r w:rsidRPr="00E14705">
        <w:t xml:space="preserve">Zu den Komponenten gehören </w:t>
      </w:r>
      <w:r w:rsidRPr="00D31022">
        <w:rPr>
          <w:b/>
          <w:bCs/>
        </w:rPr>
        <w:t>A</w:t>
      </w:r>
      <w:r w:rsidRPr="00E14705">
        <w:t xml:space="preserve">nalyse, </w:t>
      </w:r>
      <w:r w:rsidRPr="00D31022">
        <w:rPr>
          <w:b/>
          <w:bCs/>
        </w:rPr>
        <w:t>D</w:t>
      </w:r>
      <w:r w:rsidRPr="00E14705">
        <w:t xml:space="preserve">esign, </w:t>
      </w:r>
      <w:r w:rsidRPr="00D31022">
        <w:rPr>
          <w:b/>
          <w:bCs/>
        </w:rPr>
        <w:t>E</w:t>
      </w:r>
      <w:r w:rsidRPr="00E14705">
        <w:t xml:space="preserve">ntwicklung, </w:t>
      </w:r>
      <w:r w:rsidRPr="00D31022">
        <w:rPr>
          <w:b/>
          <w:bCs/>
        </w:rPr>
        <w:t>I</w:t>
      </w:r>
      <w:r w:rsidRPr="00E14705">
        <w:t xml:space="preserve">mplementierung und </w:t>
      </w:r>
      <w:r w:rsidRPr="00D31022">
        <w:rPr>
          <w:b/>
          <w:bCs/>
        </w:rPr>
        <w:t>E</w:t>
      </w:r>
      <w:r w:rsidRPr="00E14705">
        <w:t>valuierung.</w:t>
      </w:r>
      <w:r>
        <w:t xml:space="preserve">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74D198D7" w14:textId="77777777" w:rsidR="00C14529" w:rsidRDefault="00C14529">
      <w:pPr>
        <w:tabs>
          <w:tab w:val="clear" w:pos="426"/>
        </w:tabs>
        <w:jc w:val="left"/>
        <w:rPr>
          <w:color w:val="C00000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6346"/>
      </w:tblGrid>
      <w:tr w:rsidR="00C14529" w:rsidRPr="00C14529" w14:paraId="7056A53F" w14:textId="77777777" w:rsidTr="00C14529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AF4FD" w:themeFill="accent2" w:themeFillTint="33"/>
          </w:tcPr>
          <w:p w14:paraId="27E15616" w14:textId="65E4B8B6" w:rsidR="00C14529" w:rsidRPr="00C14529" w:rsidRDefault="00C14529" w:rsidP="00A53172">
            <w:pPr>
              <w:tabs>
                <w:tab w:val="left" w:pos="6162"/>
              </w:tabs>
              <w:ind w:right="667"/>
              <w:rPr>
                <w:rFonts w:ascii="Calibri" w:hAnsi="Calibri" w:cs="Calibri"/>
                <w:b/>
                <w:bCs/>
                <w:color w:val="47CCF8" w:themeColor="accent2"/>
                <w:sz w:val="40"/>
                <w:szCs w:val="40"/>
              </w:rPr>
            </w:pPr>
            <w:r w:rsidRPr="00C14529">
              <w:rPr>
                <w:rFonts w:ascii="Calibri" w:hAnsi="Calibri" w:cs="Calibri"/>
                <w:b/>
                <w:bCs/>
                <w:color w:val="47CCF8" w:themeColor="accent2"/>
                <w:sz w:val="40"/>
                <w:szCs w:val="40"/>
              </w:rPr>
              <w:t>E-VALUATION</w:t>
            </w:r>
            <w:r>
              <w:rPr>
                <w:rFonts w:ascii="Calibri" w:hAnsi="Calibri" w:cs="Calibri"/>
                <w:b/>
                <w:bCs/>
                <w:color w:val="47CCF8" w:themeColor="accent2"/>
                <w:sz w:val="40"/>
                <w:szCs w:val="40"/>
              </w:rPr>
              <w:t xml:space="preserve"> – Was beinhaltet die Phase</w:t>
            </w:r>
          </w:p>
          <w:p w14:paraId="0AB045B7" w14:textId="77777777" w:rsidR="00C14529" w:rsidRPr="00C14529" w:rsidRDefault="00C14529" w:rsidP="00A53172">
            <w:pPr>
              <w:rPr>
                <w:rFonts w:ascii="Calibri" w:hAnsi="Calibri" w:cs="Calibri"/>
                <w:color w:val="34495E" w:themeColor="text1"/>
              </w:rPr>
            </w:pPr>
            <w:r w:rsidRPr="00C14529">
              <w:rPr>
                <w:rFonts w:ascii="Calibri" w:hAnsi="Calibri" w:cs="Calibri"/>
                <w:color w:val="34495E" w:themeColor="text1"/>
              </w:rPr>
              <w:t>Lernumgebung (Lernmaterialien, Lernende, Lehrende, Raum) wird evaluiert</w:t>
            </w:r>
          </w:p>
          <w:p w14:paraId="276F280B" w14:textId="77777777" w:rsidR="00C14529" w:rsidRPr="00C14529" w:rsidRDefault="00C14529" w:rsidP="00A53172">
            <w:pPr>
              <w:rPr>
                <w:rFonts w:ascii="Calibri" w:hAnsi="Calibri" w:cs="Calibri"/>
                <w:color w:val="34495E" w:themeColor="text1"/>
              </w:rPr>
            </w:pPr>
            <w:r w:rsidRPr="00C14529">
              <w:rPr>
                <w:rFonts w:ascii="Calibri" w:hAnsi="Calibri" w:cs="Calibri"/>
                <w:color w:val="34495E" w:themeColor="text1"/>
              </w:rPr>
              <w:t>1. Zweck der Eva., Datenerfassungsinstrumente (</w:t>
            </w:r>
            <w:proofErr w:type="spellStart"/>
            <w:r w:rsidRPr="00C14529">
              <w:rPr>
                <w:rFonts w:ascii="Calibri" w:hAnsi="Calibri" w:cs="Calibri"/>
                <w:color w:val="34495E" w:themeColor="text1"/>
              </w:rPr>
              <w:t>Bwertungswerkzeug</w:t>
            </w:r>
            <w:proofErr w:type="spellEnd"/>
            <w:r w:rsidRPr="00C14529">
              <w:rPr>
                <w:rFonts w:ascii="Calibri" w:hAnsi="Calibri" w:cs="Calibri"/>
                <w:color w:val="34495E" w:themeColor="text1"/>
              </w:rPr>
              <w:t>), Zeitpunkt, Person, Gruppe</w:t>
            </w:r>
          </w:p>
          <w:p w14:paraId="6E5FE810" w14:textId="77777777" w:rsidR="00C14529" w:rsidRPr="00C14529" w:rsidRDefault="00C14529" w:rsidP="00A53172">
            <w:pPr>
              <w:rPr>
                <w:rFonts w:ascii="Calibri" w:hAnsi="Calibri" w:cs="Calibri"/>
                <w:color w:val="34495E" w:themeColor="text1"/>
              </w:rPr>
            </w:pPr>
            <w:r w:rsidRPr="00C14529">
              <w:rPr>
                <w:rFonts w:ascii="Calibri" w:hAnsi="Calibri" w:cs="Calibri"/>
                <w:color w:val="34495E" w:themeColor="text1"/>
              </w:rPr>
              <w:t xml:space="preserve">2. Reihe von </w:t>
            </w:r>
            <w:proofErr w:type="spellStart"/>
            <w:r w:rsidRPr="00C14529">
              <w:rPr>
                <w:rFonts w:ascii="Calibri" w:hAnsi="Calibri" w:cs="Calibri"/>
                <w:color w:val="34495E" w:themeColor="text1"/>
              </w:rPr>
              <w:t>summativen</w:t>
            </w:r>
            <w:proofErr w:type="spellEnd"/>
            <w:r w:rsidRPr="00C14529">
              <w:rPr>
                <w:rFonts w:ascii="Calibri" w:hAnsi="Calibri" w:cs="Calibri"/>
                <w:color w:val="34495E" w:themeColor="text1"/>
              </w:rPr>
              <w:t xml:space="preserve"> Bewertungskriterien</w:t>
            </w:r>
          </w:p>
        </w:tc>
      </w:tr>
      <w:tr w:rsidR="00C14529" w:rsidRPr="00C14529" w14:paraId="00B2D1C0" w14:textId="77777777" w:rsidTr="00C14529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E5068" w14:textId="77777777" w:rsidR="00C14529" w:rsidRPr="00C14529" w:rsidRDefault="00C14529" w:rsidP="00A53172">
            <w:pPr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- formativ (prozessbegleitend)</w:t>
            </w:r>
          </w:p>
          <w:p w14:paraId="0B2F7CA0" w14:textId="77777777" w:rsidR="00C14529" w:rsidRPr="00C14529" w:rsidRDefault="00C14529" w:rsidP="00A53172">
            <w:pPr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- </w:t>
            </w:r>
            <w:proofErr w:type="spellStart"/>
            <w:r w:rsidRPr="00C14529">
              <w:rPr>
                <w:color w:val="34495E" w:themeColor="text1"/>
              </w:rPr>
              <w:t>summativ</w:t>
            </w:r>
            <w:proofErr w:type="spellEnd"/>
            <w:r w:rsidRPr="00C14529">
              <w:rPr>
                <w:color w:val="34495E" w:themeColor="text1"/>
              </w:rPr>
              <w:t xml:space="preserve"> (nachher am Ende des Kurses)</w:t>
            </w:r>
          </w:p>
          <w:p w14:paraId="37CCCD9B" w14:textId="77777777" w:rsidR="00C14529" w:rsidRPr="00C14529" w:rsidRDefault="00C14529" w:rsidP="00A53172">
            <w:pPr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- Vergleiche Erkenntnisse aus Bedarfsanalyse (Analysephase) mit fertigen Kurs: </w:t>
            </w:r>
          </w:p>
          <w:p w14:paraId="46F89816" w14:textId="77777777" w:rsidR="00C14529" w:rsidRPr="00C14529" w:rsidRDefault="00C14529" w:rsidP="00A53172">
            <w:pPr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Wurden die Erwartungen erfüllt? </w:t>
            </w:r>
            <w:r w:rsidRPr="00C14529">
              <w:rPr>
                <w:color w:val="34495E" w:themeColor="text1"/>
              </w:rPr>
              <w:sym w:font="Wingdings" w:char="F0E0"/>
            </w:r>
            <w:r w:rsidRPr="00C14529">
              <w:rPr>
                <w:color w:val="34495E" w:themeColor="text1"/>
              </w:rPr>
              <w:t xml:space="preserve"> Meinung der Lernenden</w:t>
            </w:r>
          </w:p>
          <w:p w14:paraId="15A25773" w14:textId="77777777" w:rsidR="00C14529" w:rsidRDefault="00C14529" w:rsidP="00A53172">
            <w:pPr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Kann man Verbesserungen messen? </w:t>
            </w:r>
            <w:r w:rsidRPr="00C14529">
              <w:rPr>
                <w:color w:val="34495E" w:themeColor="text1"/>
              </w:rPr>
              <w:sym w:font="Wingdings" w:char="F0E0"/>
            </w:r>
            <w:r w:rsidRPr="00C14529">
              <w:rPr>
                <w:color w:val="34495E" w:themeColor="text1"/>
              </w:rPr>
              <w:t xml:space="preserve"> Ziele erreicht?</w:t>
            </w:r>
          </w:p>
          <w:p w14:paraId="2791A0BC" w14:textId="77777777" w:rsidR="00C14529" w:rsidRDefault="00C14529" w:rsidP="00A53172">
            <w:pPr>
              <w:rPr>
                <w:color w:val="34495E" w:themeColor="text1"/>
              </w:rPr>
            </w:pPr>
          </w:p>
          <w:p w14:paraId="7FF2D0D2" w14:textId="77777777" w:rsidR="00C14529" w:rsidRDefault="00C14529" w:rsidP="00A53172">
            <w:pPr>
              <w:rPr>
                <w:color w:val="34495E" w:themeColor="text1"/>
              </w:rPr>
            </w:pPr>
          </w:p>
          <w:p w14:paraId="7CA02347" w14:textId="77777777" w:rsidR="00C14529" w:rsidRDefault="00C14529" w:rsidP="00A53172">
            <w:pPr>
              <w:rPr>
                <w:color w:val="34495E" w:themeColor="text1"/>
              </w:rPr>
            </w:pPr>
          </w:p>
          <w:p w14:paraId="49EF6998" w14:textId="214203FF" w:rsidR="00C14529" w:rsidRPr="00C14529" w:rsidRDefault="00C14529" w:rsidP="00A53172">
            <w:pPr>
              <w:rPr>
                <w:color w:val="34495E" w:themeColor="text1"/>
              </w:rPr>
            </w:pPr>
          </w:p>
        </w:tc>
      </w:tr>
      <w:tr w:rsidR="00C14529" w:rsidRPr="00C14529" w14:paraId="3FE86391" w14:textId="77777777" w:rsidTr="00AB35F6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F4FD" w:themeFill="accent2" w:themeFillTint="33"/>
          </w:tcPr>
          <w:p w14:paraId="67256AF2" w14:textId="77777777" w:rsidR="00C14529" w:rsidRPr="00C14529" w:rsidRDefault="00C14529" w:rsidP="00A53172">
            <w:pPr>
              <w:rPr>
                <w:b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F4FD" w:themeFill="accent2" w:themeFillTint="33"/>
          </w:tcPr>
          <w:p w14:paraId="2184A899" w14:textId="77777777" w:rsidR="00C14529" w:rsidRPr="00C14529" w:rsidRDefault="00C14529" w:rsidP="00A53172">
            <w:pPr>
              <w:rPr>
                <w:i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F4FD" w:themeFill="accent2" w:themeFillTint="33"/>
          </w:tcPr>
          <w:p w14:paraId="5D1313B8" w14:textId="534A8DBD" w:rsidR="00C14529" w:rsidRPr="00C14529" w:rsidRDefault="00C14529" w:rsidP="00A53172">
            <w:pPr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C14529" w:rsidRPr="00C14529" w14:paraId="089E6508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4096D4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1) Zweck der Evaluation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5E72519" w14:textId="1687821B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Formativ</w:t>
            </w:r>
            <w:r>
              <w:rPr>
                <w:color w:val="34495E" w:themeColor="text1"/>
              </w:rPr>
              <w:t xml:space="preserve"> (tägliche Meetings, …)</w:t>
            </w:r>
          </w:p>
          <w:p w14:paraId="7F870100" w14:textId="757C6358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proofErr w:type="spellStart"/>
            <w:r w:rsidRPr="00C14529">
              <w:rPr>
                <w:color w:val="34495E" w:themeColor="text1"/>
              </w:rPr>
              <w:t>Summativ</w:t>
            </w:r>
            <w:proofErr w:type="spellEnd"/>
            <w:r w:rsidRPr="00C14529">
              <w:rPr>
                <w:color w:val="34495E" w:themeColor="text1"/>
              </w:rPr>
              <w:t xml:space="preserve"> (Feedbackbogen</w:t>
            </w:r>
            <w:r>
              <w:rPr>
                <w:color w:val="34495E" w:themeColor="text1"/>
              </w:rPr>
              <w:t>/Fragebogen</w:t>
            </w:r>
            <w:r w:rsidRPr="00C14529">
              <w:rPr>
                <w:color w:val="34495E" w:themeColor="text1"/>
              </w:rPr>
              <w:t xml:space="preserve"> </w:t>
            </w:r>
            <w:r w:rsidRPr="00C14529">
              <w:rPr>
                <w:color w:val="34495E" w:themeColor="text1"/>
              </w:rPr>
              <w:sym w:font="Wingdings" w:char="F0E0"/>
            </w:r>
            <w:r w:rsidRPr="00C14529">
              <w:rPr>
                <w:color w:val="34495E" w:themeColor="text1"/>
              </w:rPr>
              <w:t xml:space="preserve"> einmal nach Kursdurchlauf und einmal nach </w:t>
            </w:r>
            <w:r>
              <w:rPr>
                <w:color w:val="34495E" w:themeColor="text1"/>
              </w:rPr>
              <w:t xml:space="preserve">jeder </w:t>
            </w:r>
            <w:r w:rsidRPr="00C14529">
              <w:rPr>
                <w:color w:val="34495E" w:themeColor="text1"/>
              </w:rPr>
              <w:t>ADDIE-Phase)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875A41" w14:textId="3FFC2AB1" w:rsidR="00C14529" w:rsidRPr="00C14529" w:rsidRDefault="00C14529" w:rsidP="00C14529">
            <w:pPr>
              <w:tabs>
                <w:tab w:val="clear" w:pos="426"/>
              </w:tabs>
              <w:ind w:left="786" w:hanging="360"/>
              <w:jc w:val="left"/>
              <w:rPr>
                <w:color w:val="34495E" w:themeColor="text1"/>
              </w:rPr>
            </w:pPr>
          </w:p>
        </w:tc>
      </w:tr>
      <w:tr w:rsidR="00C14529" w:rsidRPr="00C14529" w14:paraId="02ACF67B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968939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D1B14B8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Datenerhebungsinstrumente</w:t>
            </w:r>
          </w:p>
          <w:p w14:paraId="62F6957B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28D18A31" w14:textId="5B559E46" w:rsidR="00C14529" w:rsidRPr="00C14529" w:rsidRDefault="00C14529" w:rsidP="00C14529">
            <w:pPr>
              <w:jc w:val="left"/>
              <w:rPr>
                <w:color w:val="34495E" w:themeColor="text1"/>
                <w:lang w:val="en-US"/>
              </w:rPr>
            </w:pPr>
            <w:r w:rsidRPr="00C14529">
              <w:rPr>
                <w:color w:val="34495E" w:themeColor="text1"/>
                <w:lang w:val="en-US"/>
              </w:rPr>
              <w:t>Eva.-</w:t>
            </w:r>
            <w:proofErr w:type="spellStart"/>
            <w:r w:rsidRPr="00C14529">
              <w:rPr>
                <w:color w:val="34495E" w:themeColor="text1"/>
                <w:lang w:val="en-US"/>
              </w:rPr>
              <w:t>bogen</w:t>
            </w:r>
            <w:proofErr w:type="spellEnd"/>
            <w:r w:rsidRPr="00C14529">
              <w:rPr>
                <w:color w:val="34495E" w:themeColor="text1"/>
                <w:lang w:val="en-US"/>
              </w:rPr>
              <w:t xml:space="preserve"> </w:t>
            </w:r>
            <w:proofErr w:type="spellStart"/>
            <w:r w:rsidRPr="00C14529">
              <w:rPr>
                <w:color w:val="34495E" w:themeColor="text1"/>
                <w:lang w:val="en-US"/>
              </w:rPr>
              <w:t>nach</w:t>
            </w:r>
            <w:proofErr w:type="spellEnd"/>
            <w:r w:rsidRPr="00C14529">
              <w:rPr>
                <w:color w:val="34495E" w:themeColor="text1"/>
                <w:lang w:val="en-US"/>
              </w:rPr>
              <w:t xml:space="preserve"> ADDIE-Phase</w:t>
            </w:r>
            <w:r w:rsidRPr="00C14529">
              <w:rPr>
                <w:color w:val="34495E" w:themeColor="text1"/>
                <w:lang w:val="en-US"/>
              </w:rPr>
              <w:t xml:space="preserve"> (google-do</w:t>
            </w:r>
            <w:r>
              <w:rPr>
                <w:color w:val="34495E" w:themeColor="text1"/>
                <w:lang w:val="en-US"/>
              </w:rPr>
              <w:t>cs,…)</w:t>
            </w:r>
          </w:p>
          <w:p w14:paraId="09AF52F8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Eva.-bogen nach Kursdurchlauf</w:t>
            </w:r>
          </w:p>
          <w:p w14:paraId="260EAD6A" w14:textId="79FB1083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Evaluation der </w:t>
            </w:r>
            <w:proofErr w:type="spellStart"/>
            <w:r w:rsidRPr="00C14529">
              <w:rPr>
                <w:color w:val="34495E" w:themeColor="text1"/>
              </w:rPr>
              <w:t>Lernendenaktivität</w:t>
            </w:r>
            <w:proofErr w:type="spellEnd"/>
            <w:r w:rsidRPr="00C14529">
              <w:rPr>
                <w:color w:val="34495E" w:themeColor="text1"/>
              </w:rPr>
              <w:t xml:space="preserve"> (</w:t>
            </w:r>
            <w:r>
              <w:rPr>
                <w:color w:val="34495E" w:themeColor="text1"/>
              </w:rPr>
              <w:t>statistischen Tool,….</w:t>
            </w:r>
            <w:r w:rsidRPr="00C14529">
              <w:rPr>
                <w:color w:val="34495E" w:themeColor="text1"/>
              </w:rPr>
              <w:t>)</w:t>
            </w:r>
          </w:p>
          <w:p w14:paraId="1C1F93A0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026F2BFC" w14:textId="77777777" w:rsidR="00C14529" w:rsidRPr="00C14529" w:rsidRDefault="00C14529" w:rsidP="00C14529">
            <w:pPr>
              <w:jc w:val="left"/>
              <w:rPr>
                <w:b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t>Methoden:</w:t>
            </w:r>
          </w:p>
          <w:p w14:paraId="7DF70144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Evaluationsfragebogen</w:t>
            </w:r>
          </w:p>
          <w:p w14:paraId="07F879AE" w14:textId="2FB571A5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Interviews (Interviewleitfaden)</w:t>
            </w:r>
          </w:p>
          <w:p w14:paraId="6260C8DF" w14:textId="5ED58AC0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proofErr w:type="spellStart"/>
            <w:r w:rsidRPr="00C14529">
              <w:rPr>
                <w:color w:val="34495E" w:themeColor="text1"/>
              </w:rPr>
              <w:t>Likert</w:t>
            </w:r>
            <w:proofErr w:type="spellEnd"/>
            <w:r w:rsidRPr="00C14529">
              <w:rPr>
                <w:color w:val="34495E" w:themeColor="text1"/>
              </w:rPr>
              <w:t xml:space="preserve"> Skalen (vorhanden</w:t>
            </w:r>
            <w:r>
              <w:rPr>
                <w:color w:val="34495E" w:themeColor="text1"/>
              </w:rPr>
              <w:t>?</w:t>
            </w:r>
            <w:r w:rsidRPr="00C14529">
              <w:rPr>
                <w:color w:val="34495E" w:themeColor="text1"/>
              </w:rPr>
              <w:t>)</w:t>
            </w:r>
          </w:p>
          <w:p w14:paraId="360709D9" w14:textId="4138D05A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Offene Fragen (vorhanden</w:t>
            </w:r>
            <w:r>
              <w:rPr>
                <w:color w:val="34495E" w:themeColor="text1"/>
              </w:rPr>
              <w:t>?</w:t>
            </w:r>
            <w:r w:rsidRPr="00C14529">
              <w:rPr>
                <w:color w:val="34495E" w:themeColor="text1"/>
              </w:rPr>
              <w:t>)</w:t>
            </w:r>
          </w:p>
          <w:p w14:paraId="4711A6D1" w14:textId="75B3D7AA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Erklärungen, Rollenspiele, Beobachtungen, Übungen, Simulationen (erreiche 75% der gewünschten Handlungen…), authentische Arbeitsaufgaben, </w:t>
            </w:r>
            <w:proofErr w:type="spellStart"/>
            <w:r w:rsidRPr="00C14529">
              <w:rPr>
                <w:color w:val="34495E" w:themeColor="text1"/>
              </w:rPr>
              <w:t>Performanzcheckliste</w:t>
            </w:r>
            <w:proofErr w:type="spellEnd"/>
            <w:r w:rsidRPr="00C14529">
              <w:rPr>
                <w:color w:val="34495E" w:themeColor="text1"/>
              </w:rPr>
              <w:t xml:space="preserve"> (Kompetenzmatrix), Bewertungen durch Supervisor / Lehre</w:t>
            </w:r>
            <w:r>
              <w:rPr>
                <w:color w:val="34495E" w:themeColor="text1"/>
              </w:rPr>
              <w:t>nde</w:t>
            </w:r>
            <w:r w:rsidRPr="00C14529">
              <w:rPr>
                <w:color w:val="34495E" w:themeColor="text1"/>
              </w:rPr>
              <w:t xml:space="preserve"> etc., Peer Bewertungen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656A54" w14:textId="7EA5B938" w:rsidR="00C14529" w:rsidRPr="00C14529" w:rsidRDefault="00C14529" w:rsidP="00C14529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C14529" w:rsidRPr="00C14529" w14:paraId="083AEEB7" w14:textId="77777777" w:rsidTr="00AB35F6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F4FD" w:themeFill="accent2" w:themeFillTint="33"/>
          </w:tcPr>
          <w:p w14:paraId="76F42D56" w14:textId="77777777" w:rsidR="00C14529" w:rsidRPr="00C14529" w:rsidRDefault="00C14529" w:rsidP="00A53172">
            <w:pPr>
              <w:rPr>
                <w:b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F4FD" w:themeFill="accent2" w:themeFillTint="33"/>
          </w:tcPr>
          <w:p w14:paraId="107C3C39" w14:textId="77777777" w:rsidR="00C14529" w:rsidRPr="00C14529" w:rsidRDefault="00C14529" w:rsidP="00A53172">
            <w:pPr>
              <w:rPr>
                <w:i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F4FD" w:themeFill="accent2" w:themeFillTint="33"/>
          </w:tcPr>
          <w:p w14:paraId="091F137A" w14:textId="77777777" w:rsidR="00C14529" w:rsidRPr="00C14529" w:rsidRDefault="00C14529" w:rsidP="00A53172">
            <w:pPr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C14529" w:rsidRPr="00C14529" w14:paraId="55E98595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78779E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891C54F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Zeitpunkt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4B6189" w14:textId="77777777" w:rsidR="00C14529" w:rsidRPr="00C14529" w:rsidRDefault="00C14529" w:rsidP="00C14529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C14529" w:rsidRPr="00C14529" w14:paraId="3C6F8206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68389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6E119E0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Für wen sind die Informationen bestimmt</w:t>
            </w:r>
          </w:p>
          <w:p w14:paraId="44AA90FF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5E8972AF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Lehrende</w:t>
            </w:r>
          </w:p>
          <w:p w14:paraId="5A017A91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Lernende</w:t>
            </w:r>
          </w:p>
          <w:p w14:paraId="05C7E219" w14:textId="0101774C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>
              <w:rPr>
                <w:color w:val="34495E" w:themeColor="text1"/>
              </w:rPr>
              <w:t>Entwickler und Produzenten</w:t>
            </w:r>
          </w:p>
          <w:p w14:paraId="60398F41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1B3996F8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DBE1BB" w14:textId="304A4D24" w:rsidR="00C14529" w:rsidRPr="00C14529" w:rsidRDefault="00C14529" w:rsidP="00C14529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C14529" w:rsidRPr="00C14529" w14:paraId="0D2F6ADC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DBF7C6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2) Welche Informationen sollen erhoben werden?</w:t>
            </w:r>
          </w:p>
          <w:p w14:paraId="3DBD275E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1C9C2315" w14:textId="37203636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Nutze 4 Ebenen nach </w:t>
            </w:r>
            <w:proofErr w:type="spellStart"/>
            <w:r w:rsidRPr="00C14529">
              <w:rPr>
                <w:color w:val="34495E" w:themeColor="text1"/>
              </w:rPr>
              <w:t>Kirkpatrick</w:t>
            </w:r>
            <w:proofErr w:type="spellEnd"/>
            <w:r>
              <w:rPr>
                <w:color w:val="34495E" w:themeColor="text1"/>
              </w:rPr>
              <w:t xml:space="preserve"> &amp; </w:t>
            </w:r>
            <w:proofErr w:type="spellStart"/>
            <w:r>
              <w:rPr>
                <w:color w:val="34495E" w:themeColor="text1"/>
              </w:rPr>
              <w:t>Kirkpatrick</w:t>
            </w:r>
            <w:proofErr w:type="spellEnd"/>
            <w:r>
              <w:rPr>
                <w:color w:val="34495E" w:themeColor="text1"/>
              </w:rPr>
              <w:t xml:space="preserve"> (2006)</w:t>
            </w:r>
          </w:p>
          <w:p w14:paraId="2CFA9F9E" w14:textId="57E48938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5CA32B6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Instruktionsdesign (Didaktik)</w:t>
            </w:r>
          </w:p>
          <w:p w14:paraId="59084070" w14:textId="7E82DC70" w:rsidR="00C14529" w:rsidRPr="00C14529" w:rsidRDefault="00C14529" w:rsidP="00C14529">
            <w:pPr>
              <w:spacing w:before="100" w:beforeAutospacing="1" w:after="100" w:afterAutospacing="1"/>
              <w:jc w:val="left"/>
              <w:rPr>
                <w:rFonts w:eastAsia="Times New Roman"/>
                <w:color w:val="34495E" w:themeColor="text1"/>
              </w:rPr>
            </w:pPr>
            <w:r w:rsidRPr="00C14529">
              <w:rPr>
                <w:rFonts w:eastAsia="Times New Roman"/>
                <w:color w:val="34495E" w:themeColor="text1"/>
              </w:rPr>
              <w:t>Ist der Aufbau gelungen (Klarheit, Verst</w:t>
            </w:r>
            <w:r>
              <w:rPr>
                <w:rFonts w:eastAsia="Times New Roman"/>
                <w:color w:val="34495E" w:themeColor="text1"/>
              </w:rPr>
              <w:t>ä</w:t>
            </w:r>
            <w:r w:rsidRPr="00C14529">
              <w:rPr>
                <w:rFonts w:eastAsia="Times New Roman"/>
                <w:color w:val="34495E" w:themeColor="text1"/>
              </w:rPr>
              <w:t xml:space="preserve">ndlichkeit, Beispiele, </w:t>
            </w:r>
            <w:r>
              <w:rPr>
                <w:rFonts w:eastAsia="Times New Roman"/>
                <w:color w:val="34495E" w:themeColor="text1"/>
              </w:rPr>
              <w:t>Ü</w:t>
            </w:r>
            <w:r w:rsidRPr="00C14529">
              <w:rPr>
                <w:rFonts w:eastAsia="Times New Roman"/>
                <w:color w:val="34495E" w:themeColor="text1"/>
              </w:rPr>
              <w:t xml:space="preserve">bungsaufgaben)? </w:t>
            </w:r>
          </w:p>
          <w:p w14:paraId="2C9CFE1A" w14:textId="77777777" w:rsidR="00C14529" w:rsidRPr="00C14529" w:rsidRDefault="00C14529" w:rsidP="00C14529">
            <w:pPr>
              <w:spacing w:before="100" w:beforeAutospacing="1" w:after="100" w:afterAutospacing="1"/>
              <w:jc w:val="left"/>
              <w:rPr>
                <w:rFonts w:eastAsia="Times New Roman"/>
                <w:color w:val="34495E" w:themeColor="text1"/>
              </w:rPr>
            </w:pPr>
            <w:r w:rsidRPr="00C14529">
              <w:rPr>
                <w:rFonts w:eastAsia="Times New Roman"/>
                <w:color w:val="34495E" w:themeColor="text1"/>
              </w:rPr>
              <w:t xml:space="preserve">Bewertung der Stoffauswahl (Einbindung in das Curriculum, Anwendungsbezug, Zielgruppenbezug, Strukturierung). </w:t>
            </w:r>
          </w:p>
          <w:p w14:paraId="1DCCF720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rFonts w:eastAsia="Times New Roman"/>
                <w:color w:val="34495E" w:themeColor="text1"/>
              </w:rPr>
              <w:lastRenderedPageBreak/>
              <w:t>Werden die Bedarfe geschlossen (Analyse im Sinne eines „Needs-Assessment“ [Bedarfsanalyse] - Was ist? Was sollte sein)?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314BA2" w14:textId="77777777" w:rsidR="00C14529" w:rsidRPr="00C14529" w:rsidRDefault="00C14529" w:rsidP="00C14529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C14529" w:rsidRPr="00C14529" w14:paraId="2C4347DB" w14:textId="77777777" w:rsidTr="00AB35F6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F4FD" w:themeFill="accent2" w:themeFillTint="33"/>
          </w:tcPr>
          <w:p w14:paraId="6CC0450C" w14:textId="77777777" w:rsidR="00C14529" w:rsidRPr="00C14529" w:rsidRDefault="00C14529" w:rsidP="00A53172">
            <w:pPr>
              <w:rPr>
                <w:b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F4FD" w:themeFill="accent2" w:themeFillTint="33"/>
          </w:tcPr>
          <w:p w14:paraId="2725BEB1" w14:textId="77777777" w:rsidR="00C14529" w:rsidRPr="00C14529" w:rsidRDefault="00C14529" w:rsidP="00A53172">
            <w:pPr>
              <w:rPr>
                <w:i/>
                <w:color w:val="34495E" w:themeColor="text1"/>
              </w:rPr>
            </w:pPr>
            <w:r w:rsidRPr="00C14529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F4FD" w:themeFill="accent2" w:themeFillTint="33"/>
          </w:tcPr>
          <w:p w14:paraId="6E116457" w14:textId="77777777" w:rsidR="00C14529" w:rsidRPr="00C14529" w:rsidRDefault="00C14529" w:rsidP="00A53172">
            <w:pPr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C14529" w:rsidRPr="00C14529" w14:paraId="6A8DAA69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2327B3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B6FD8E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System (technisch-funktionale Aspekte)</w:t>
            </w:r>
          </w:p>
          <w:p w14:paraId="312A106C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Funktionalität</w:t>
            </w:r>
          </w:p>
          <w:p w14:paraId="35C4BEED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Stabilität</w:t>
            </w:r>
          </w:p>
          <w:p w14:paraId="6B03CF0C" w14:textId="77777777" w:rsid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Ästhetik / Übersichtlichkeit</w:t>
            </w:r>
          </w:p>
          <w:p w14:paraId="68110F44" w14:textId="77777777" w:rsid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71838A0D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Bsp.: </w:t>
            </w:r>
          </w:p>
          <w:p w14:paraId="5E541992" w14:textId="48D73AED" w:rsidR="00C14529" w:rsidRPr="00C14529" w:rsidRDefault="00C14529" w:rsidP="00C14529">
            <w:pPr>
              <w:ind w:right="-254"/>
              <w:jc w:val="left"/>
              <w:rPr>
                <w:noProof/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Läuft das entwickelte Produkt technisch </w:t>
            </w:r>
            <w:proofErr w:type="spellStart"/>
            <w:r w:rsidRPr="00C14529">
              <w:rPr>
                <w:color w:val="34495E" w:themeColor="text1"/>
              </w:rPr>
              <w:t>i.O</w:t>
            </w:r>
            <w:proofErr w:type="spellEnd"/>
            <w:r w:rsidRPr="00C14529">
              <w:rPr>
                <w:color w:val="34495E" w:themeColor="text1"/>
              </w:rPr>
              <w:t>.</w:t>
            </w:r>
            <w:r>
              <w:rPr>
                <w:color w:val="34495E" w:themeColor="text1"/>
              </w:rPr>
              <w:t xml:space="preserve"> (stabil</w:t>
            </w:r>
            <w:r w:rsidR="00DE51E7">
              <w:rPr>
                <w:color w:val="34495E" w:themeColor="text1"/>
              </w:rPr>
              <w:t>)</w:t>
            </w:r>
            <w:r w:rsidRPr="00C14529">
              <w:rPr>
                <w:color w:val="34495E" w:themeColor="text1"/>
              </w:rPr>
              <w:t>?</w:t>
            </w:r>
          </w:p>
          <w:p w14:paraId="5B65D1D3" w14:textId="77777777" w:rsidR="00C14529" w:rsidRPr="00C14529" w:rsidRDefault="00C14529" w:rsidP="00C14529">
            <w:pPr>
              <w:ind w:right="-254"/>
              <w:jc w:val="left"/>
              <w:rPr>
                <w:noProof/>
                <w:color w:val="34495E" w:themeColor="text1"/>
              </w:rPr>
            </w:pPr>
            <w:r w:rsidRPr="00C14529">
              <w:rPr>
                <w:color w:val="34495E" w:themeColor="text1"/>
              </w:rPr>
              <w:t>Wie funktional ist das Produkt?</w:t>
            </w:r>
          </w:p>
          <w:p w14:paraId="6C2F790C" w14:textId="78606185" w:rsidR="00C14529" w:rsidRPr="00C14529" w:rsidRDefault="00C14529" w:rsidP="00C14529">
            <w:pPr>
              <w:ind w:right="-254"/>
              <w:jc w:val="left"/>
              <w:rPr>
                <w:noProof/>
                <w:color w:val="34495E" w:themeColor="text1"/>
              </w:rPr>
            </w:pPr>
            <w:r w:rsidRPr="00C14529">
              <w:rPr>
                <w:color w:val="34495E" w:themeColor="text1"/>
              </w:rPr>
              <w:t>Wie ästhetisch ist das Produkt</w:t>
            </w:r>
            <w:r w:rsidR="00DE51E7">
              <w:rPr>
                <w:color w:val="34495E" w:themeColor="text1"/>
              </w:rPr>
              <w:t xml:space="preserve"> </w:t>
            </w:r>
            <w:r w:rsidRPr="00C14529">
              <w:rPr>
                <w:color w:val="34495E" w:themeColor="text1"/>
              </w:rPr>
              <w:t>?</w:t>
            </w:r>
          </w:p>
          <w:p w14:paraId="7443A2B0" w14:textId="77777777" w:rsidR="00C14529" w:rsidRPr="00C14529" w:rsidRDefault="00C14529" w:rsidP="00C14529">
            <w:pPr>
              <w:ind w:right="-254"/>
              <w:jc w:val="left"/>
              <w:rPr>
                <w:noProof/>
                <w:color w:val="34495E" w:themeColor="text1"/>
              </w:rPr>
            </w:pPr>
            <w:r w:rsidRPr="00C14529">
              <w:rPr>
                <w:color w:val="34495E" w:themeColor="text1"/>
              </w:rPr>
              <w:t>Wie übersichtlich ist das Produkt?</w:t>
            </w:r>
          </w:p>
          <w:p w14:paraId="745EFF5B" w14:textId="77777777" w:rsid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Wurden alle Ziele erreicht?</w:t>
            </w:r>
          </w:p>
          <w:p w14:paraId="57DD4CB5" w14:textId="2E69A606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>
              <w:rPr>
                <w:color w:val="34495E" w:themeColor="text1"/>
              </w:rPr>
              <w:t>Wie fallen die Testergebnisse aus?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C0EE96" w14:textId="61225639" w:rsidR="00C14529" w:rsidRPr="00C14529" w:rsidRDefault="00C14529" w:rsidP="00C14529">
            <w:pPr>
              <w:ind w:right="-254"/>
              <w:jc w:val="left"/>
              <w:rPr>
                <w:noProof/>
                <w:color w:val="34495E" w:themeColor="text1"/>
              </w:rPr>
            </w:pPr>
          </w:p>
        </w:tc>
      </w:tr>
      <w:tr w:rsidR="00C14529" w:rsidRPr="00C14529" w14:paraId="7D2792E3" w14:textId="77777777" w:rsidTr="00C14529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CF67A4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AC7F530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Maßnahme (Didaktik) – Akzeptanz der Maßnahme</w:t>
            </w:r>
          </w:p>
          <w:p w14:paraId="741620E1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 xml:space="preserve">Handhabung </w:t>
            </w:r>
          </w:p>
          <w:p w14:paraId="0FF84DE7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Interesse</w:t>
            </w:r>
          </w:p>
          <w:p w14:paraId="43D15BA1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Motivation</w:t>
            </w:r>
          </w:p>
          <w:p w14:paraId="51B4F89E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Erwartungen</w:t>
            </w:r>
          </w:p>
          <w:p w14:paraId="26B2AA07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Inhalt</w:t>
            </w:r>
          </w:p>
          <w:p w14:paraId="2F31A636" w14:textId="77777777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lastRenderedPageBreak/>
              <w:t>Verbesserungsvorschläge</w:t>
            </w:r>
          </w:p>
          <w:p w14:paraId="28A5158D" w14:textId="77777777" w:rsidR="00C14529" w:rsidRDefault="00C14529" w:rsidP="00C14529">
            <w:pPr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Lernzielerreichung</w:t>
            </w:r>
          </w:p>
          <w:p w14:paraId="73300CDE" w14:textId="77777777" w:rsidR="00C14529" w:rsidRDefault="00C14529" w:rsidP="00C14529">
            <w:pPr>
              <w:jc w:val="left"/>
              <w:rPr>
                <w:color w:val="34495E" w:themeColor="text1"/>
              </w:rPr>
            </w:pPr>
          </w:p>
          <w:p w14:paraId="156A886D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Was fällt dir bzgl. der Handhabung auf?</w:t>
            </w:r>
          </w:p>
          <w:p w14:paraId="3300871A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Spricht das Produkt dein Interesse an?</w:t>
            </w:r>
          </w:p>
          <w:p w14:paraId="364BD18E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Spricht das Produkt deine Motivation an?</w:t>
            </w:r>
          </w:p>
          <w:p w14:paraId="15B2F7A6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Hat das Produkt deine Erwartungen erfüllt?</w:t>
            </w:r>
          </w:p>
          <w:p w14:paraId="0DD36497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Verbesserungsvorschläge?</w:t>
            </w:r>
          </w:p>
          <w:p w14:paraId="01C69AB3" w14:textId="77777777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  <w:r w:rsidRPr="00C14529">
              <w:rPr>
                <w:color w:val="34495E" w:themeColor="text1"/>
              </w:rPr>
              <w:t>Hast du deine Lernziele erreicht?</w:t>
            </w:r>
          </w:p>
          <w:p w14:paraId="1EC22D07" w14:textId="60388415" w:rsidR="00C14529" w:rsidRPr="00C14529" w:rsidRDefault="00C14529" w:rsidP="00C14529">
            <w:pPr>
              <w:jc w:val="left"/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33EAE7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lastRenderedPageBreak/>
              <w:t xml:space="preserve">Beispielfragen: </w:t>
            </w:r>
          </w:p>
          <w:p w14:paraId="7EC78BA9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t>Was fällt dir bzgl. der Handhabung auf?</w:t>
            </w:r>
          </w:p>
          <w:p w14:paraId="4845DA3D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t>Spricht das Produkt dein Interesse an?</w:t>
            </w:r>
          </w:p>
          <w:p w14:paraId="3AD23C23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t>Spricht das Produkt deine Motivation an?</w:t>
            </w:r>
          </w:p>
          <w:p w14:paraId="2E59ECB9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t>Hat das Produkt deine Erwartungen erfüllt?</w:t>
            </w:r>
          </w:p>
          <w:p w14:paraId="4ADB3F29" w14:textId="77777777" w:rsidR="00C14529" w:rsidRP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t>Verbesserungsvorschläge?</w:t>
            </w:r>
          </w:p>
          <w:p w14:paraId="5812EC72" w14:textId="248A23F4" w:rsidR="00C14529" w:rsidRDefault="00C14529" w:rsidP="00C14529">
            <w:pPr>
              <w:ind w:right="-254"/>
              <w:jc w:val="left"/>
              <w:rPr>
                <w:color w:val="7F8C8D" w:themeColor="accent6"/>
              </w:rPr>
            </w:pPr>
            <w:r w:rsidRPr="00C14529">
              <w:rPr>
                <w:color w:val="7F8C8D" w:themeColor="accent6"/>
              </w:rPr>
              <w:lastRenderedPageBreak/>
              <w:t>Hast du deine Lernziele erreicht?</w:t>
            </w:r>
          </w:p>
          <w:p w14:paraId="62920C33" w14:textId="73EEA239" w:rsidR="00DE51E7" w:rsidRPr="00C14529" w:rsidRDefault="00DE51E7" w:rsidP="00C14529">
            <w:pPr>
              <w:ind w:right="-254"/>
              <w:jc w:val="left"/>
              <w:rPr>
                <w:color w:val="7F8C8D" w:themeColor="accent6"/>
              </w:rPr>
            </w:pPr>
            <w:r>
              <w:rPr>
                <w:color w:val="7F8C8D" w:themeColor="accent6"/>
              </w:rPr>
              <w:t>War es verständlich?</w:t>
            </w:r>
          </w:p>
          <w:p w14:paraId="27E451EC" w14:textId="4031A92D" w:rsidR="00C14529" w:rsidRPr="00C14529" w:rsidRDefault="00C14529" w:rsidP="00C14529">
            <w:pPr>
              <w:ind w:right="-254"/>
              <w:jc w:val="left"/>
              <w:rPr>
                <w:color w:val="34495E" w:themeColor="text1"/>
              </w:rPr>
            </w:pPr>
          </w:p>
        </w:tc>
      </w:tr>
    </w:tbl>
    <w:p w14:paraId="723B0B98" w14:textId="77777777" w:rsidR="00C14529" w:rsidRPr="00C14529" w:rsidRDefault="00C14529" w:rsidP="00C14529">
      <w:pPr>
        <w:jc w:val="left"/>
      </w:pPr>
    </w:p>
    <w:p w14:paraId="1CEF15A4" w14:textId="77777777" w:rsidR="00C14529" w:rsidRDefault="00C14529" w:rsidP="00C14529">
      <w:pPr>
        <w:rPr>
          <w:color w:val="C00000"/>
          <w:sz w:val="28"/>
          <w:szCs w:val="28"/>
        </w:rPr>
      </w:pPr>
    </w:p>
    <w:p w14:paraId="51E5E950" w14:textId="07FB89AF" w:rsidR="00C14529" w:rsidRDefault="00C14529" w:rsidP="00C14529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Dann:</w:t>
      </w:r>
    </w:p>
    <w:p w14:paraId="7C348351" w14:textId="77777777" w:rsidR="00C14529" w:rsidRPr="00804FB1" w:rsidRDefault="00C14529" w:rsidP="00C14529">
      <w:pPr>
        <w:rPr>
          <w:color w:val="C00000"/>
          <w:sz w:val="28"/>
          <w:szCs w:val="28"/>
        </w:rPr>
      </w:pPr>
    </w:p>
    <w:p w14:paraId="059EB1CA" w14:textId="48DE01E5" w:rsidR="00C14529" w:rsidRPr="007B652E" w:rsidRDefault="00C14529" w:rsidP="00C14529">
      <w:pPr>
        <w:rPr>
          <w:color w:val="34495E" w:themeColor="text1"/>
        </w:rPr>
      </w:pPr>
      <w:r>
        <w:rPr>
          <w:color w:val="34495E" w:themeColor="text1"/>
        </w:rPr>
        <w:t>Evaluation</w:t>
      </w:r>
      <w:r w:rsidRPr="007B652E">
        <w:rPr>
          <w:color w:val="34495E" w:themeColor="text1"/>
        </w:rPr>
        <w:t xml:space="preserve"> im Team besprechen (</w:t>
      </w:r>
      <w:r w:rsidRPr="007B652E">
        <w:rPr>
          <w:b/>
          <w:bCs/>
          <w:color w:val="34495E" w:themeColor="text1"/>
        </w:rPr>
        <w:t>E</w:t>
      </w:r>
      <w:r w:rsidRPr="007B652E">
        <w:rPr>
          <w:color w:val="34495E" w:themeColor="text1"/>
        </w:rPr>
        <w:t xml:space="preserve">valuation!)! Hat man alles bedacht? Braucht es Nachbesserungen? </w:t>
      </w:r>
      <w:r w:rsidRPr="007B652E">
        <w:t xml:space="preserve">Führt Instruktion dazu, dass </w:t>
      </w:r>
      <w:proofErr w:type="spellStart"/>
      <w:r w:rsidRPr="007B652E">
        <w:t>Performanzlücke</w:t>
      </w:r>
      <w:proofErr w:type="spellEnd"/>
      <w:r w:rsidRPr="007B652E">
        <w:t xml:space="preserve"> geschlossen wird? Bis zu welchem Niveau wird Instruktion die Lücke schließen?</w:t>
      </w:r>
    </w:p>
    <w:p w14:paraId="3417537F" w14:textId="77777777" w:rsidR="00C14529" w:rsidRPr="007B652E" w:rsidRDefault="00C14529" w:rsidP="00C14529">
      <w:pPr>
        <w:tabs>
          <w:tab w:val="left" w:pos="1159"/>
        </w:tabs>
        <w:rPr>
          <w:color w:val="34495E" w:themeColor="text1"/>
        </w:rPr>
      </w:pPr>
    </w:p>
    <w:p w14:paraId="7DEB030E" w14:textId="77777777" w:rsidR="00C14529" w:rsidRPr="007B652E" w:rsidRDefault="00C14529" w:rsidP="00C14529">
      <w:pPr>
        <w:tabs>
          <w:tab w:val="left" w:pos="1159"/>
        </w:tabs>
        <w:rPr>
          <w:color w:val="34495E" w:themeColor="text1"/>
        </w:rPr>
      </w:pPr>
      <w:r w:rsidRPr="007B652E">
        <w:rPr>
          <w:color w:val="34495E" w:themeColor="text1"/>
        </w:rPr>
        <w:t xml:space="preserve">Wurde im Laufe des ADDIE-Prozesses weiterer Inhalt erstellt, der vorher nicht bedacht wurde (könnte bei der </w:t>
      </w:r>
      <w:proofErr w:type="spellStart"/>
      <w:r w:rsidRPr="007B652E">
        <w:rPr>
          <w:color w:val="34495E" w:themeColor="text1"/>
        </w:rPr>
        <w:t>summativen</w:t>
      </w:r>
      <w:proofErr w:type="spellEnd"/>
      <w:r w:rsidRPr="007B652E">
        <w:rPr>
          <w:color w:val="34495E" w:themeColor="text1"/>
        </w:rPr>
        <w:t xml:space="preserve"> Evaluation hinterher Erklärungen liefern, wieso manche Deadlines nicht eingehalten werden konnten): </w:t>
      </w:r>
    </w:p>
    <w:p w14:paraId="78290D3F" w14:textId="77777777" w:rsidR="000121B0" w:rsidRDefault="000121B0" w:rsidP="00A16284">
      <w:pPr>
        <w:tabs>
          <w:tab w:val="clear" w:pos="426"/>
        </w:tabs>
        <w:ind w:left="284"/>
      </w:pPr>
    </w:p>
    <w:p w14:paraId="59EE21B2" w14:textId="77777777" w:rsidR="000121B0" w:rsidRDefault="000121B0" w:rsidP="00A16284">
      <w:pPr>
        <w:tabs>
          <w:tab w:val="clear" w:pos="426"/>
        </w:tabs>
        <w:ind w:left="284"/>
      </w:pPr>
    </w:p>
    <w:p w14:paraId="1F8F9497" w14:textId="77777777" w:rsidR="000121B0" w:rsidRDefault="000121B0" w:rsidP="00A16284">
      <w:pPr>
        <w:tabs>
          <w:tab w:val="clear" w:pos="426"/>
        </w:tabs>
        <w:ind w:left="284"/>
      </w:pPr>
    </w:p>
    <w:p w14:paraId="6244200C" w14:textId="77777777" w:rsidR="000121B0" w:rsidRDefault="000121B0" w:rsidP="00A16284">
      <w:pPr>
        <w:tabs>
          <w:tab w:val="clear" w:pos="426"/>
        </w:tabs>
        <w:ind w:left="284"/>
      </w:pPr>
    </w:p>
    <w:p w14:paraId="178D062D" w14:textId="77777777" w:rsidR="000121B0" w:rsidRPr="00BF5F40" w:rsidRDefault="000121B0" w:rsidP="00DE51E7">
      <w:pPr>
        <w:tabs>
          <w:tab w:val="clear" w:pos="426"/>
        </w:tabs>
      </w:pPr>
    </w:p>
    <w:sectPr w:rsidR="000121B0" w:rsidRPr="00BF5F40" w:rsidSect="003F1A1D">
      <w:headerReference w:type="default" r:id="rId11"/>
      <w:footerReference w:type="default" r:id="rId12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9F31" w14:textId="77777777" w:rsidR="00B15C8D" w:rsidRDefault="00B15C8D" w:rsidP="00A94B75">
      <w:r>
        <w:separator/>
      </w:r>
    </w:p>
  </w:endnote>
  <w:endnote w:type="continuationSeparator" w:id="0">
    <w:p w14:paraId="1944F78D" w14:textId="77777777" w:rsidR="00B15C8D" w:rsidRDefault="00B15C8D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3C91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2DADC2" wp14:editId="1D6FA9F8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1EAC5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252842FD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149E98F6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235EDFEC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09C13050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DADC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19D1EAC5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252842FD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149E98F6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235EDFEC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09C13050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D8554D" wp14:editId="094D4C62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86646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64084CB1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2D730429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307354EA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538D5B71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8554D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35C86646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64084CB1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2D730429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307354EA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538D5B71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78042B" wp14:editId="1844EB25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0A892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8042B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3A60A892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FDB84B" wp14:editId="6E93E485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B957C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B2A2E6" wp14:editId="722030A3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F808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 GmbH</w:t>
                          </w:r>
                        </w:p>
                        <w:p w14:paraId="224812EA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420A63D7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23A4F7DD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2A2E6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2950F808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 GmbH</w:t>
                    </w:r>
                  </w:p>
                  <w:p w14:paraId="224812EA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420A63D7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23A4F7DD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F6CA4F" wp14:editId="31BC2486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AEDCF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3EE20A19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00AA2A24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1B1F5E61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Tobias Göcke</w:t>
                          </w:r>
                        </w:p>
                        <w:p w14:paraId="1D7464AA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6CA4F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59DAEDCF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3EE20A19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00AA2A24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1B1F5E61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Tobias Göcke</w:t>
                    </w:r>
                  </w:p>
                  <w:p w14:paraId="1D7464AA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6A72E" w14:textId="77777777" w:rsidR="00B15C8D" w:rsidRDefault="00B15C8D" w:rsidP="00A94B75">
      <w:r>
        <w:separator/>
      </w:r>
    </w:p>
  </w:footnote>
  <w:footnote w:type="continuationSeparator" w:id="0">
    <w:p w14:paraId="2A592787" w14:textId="77777777" w:rsidR="00B15C8D" w:rsidRDefault="00B15C8D" w:rsidP="00A94B75">
      <w:r>
        <w:continuationSeparator/>
      </w:r>
    </w:p>
  </w:footnote>
  <w:footnote w:id="1">
    <w:p w14:paraId="405920D3" w14:textId="77777777" w:rsidR="00C14529" w:rsidRDefault="00C14529" w:rsidP="00C14529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0DF0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7056D564" wp14:editId="4E454D7F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396EA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AD7D4" wp14:editId="41F6BFED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F16C7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5202718"/>
    <w:multiLevelType w:val="hybridMultilevel"/>
    <w:tmpl w:val="FE12A03C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29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F1A1D"/>
    <w:rsid w:val="0044342A"/>
    <w:rsid w:val="005200E4"/>
    <w:rsid w:val="00542C46"/>
    <w:rsid w:val="006033B4"/>
    <w:rsid w:val="00605DF4"/>
    <w:rsid w:val="006062DC"/>
    <w:rsid w:val="00620322"/>
    <w:rsid w:val="00624ABB"/>
    <w:rsid w:val="00665E88"/>
    <w:rsid w:val="00670B2F"/>
    <w:rsid w:val="0070576A"/>
    <w:rsid w:val="007A7066"/>
    <w:rsid w:val="00821D61"/>
    <w:rsid w:val="00827489"/>
    <w:rsid w:val="00946414"/>
    <w:rsid w:val="00953916"/>
    <w:rsid w:val="009A6EF9"/>
    <w:rsid w:val="009B3E8B"/>
    <w:rsid w:val="009C0168"/>
    <w:rsid w:val="009C60AE"/>
    <w:rsid w:val="00A16284"/>
    <w:rsid w:val="00A30159"/>
    <w:rsid w:val="00A65F88"/>
    <w:rsid w:val="00A94B75"/>
    <w:rsid w:val="00A96221"/>
    <w:rsid w:val="00AB35F6"/>
    <w:rsid w:val="00AD3769"/>
    <w:rsid w:val="00B15C8D"/>
    <w:rsid w:val="00B23FD0"/>
    <w:rsid w:val="00B32410"/>
    <w:rsid w:val="00B4246E"/>
    <w:rsid w:val="00BF5F40"/>
    <w:rsid w:val="00C14529"/>
    <w:rsid w:val="00C72A6B"/>
    <w:rsid w:val="00D10590"/>
    <w:rsid w:val="00D41F01"/>
    <w:rsid w:val="00DB472E"/>
    <w:rsid w:val="00DE0B60"/>
    <w:rsid w:val="00DE51E7"/>
    <w:rsid w:val="00E01149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87DC8"/>
  <w14:defaultImageDpi w14:val="32767"/>
  <w15:chartTrackingRefBased/>
  <w15:docId w15:val="{C342C21B-07C3-FD46-9736-2D1CA451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C14529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5</Pages>
  <Words>524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2</cp:revision>
  <cp:lastPrinted>2016-05-09T13:04:00Z</cp:lastPrinted>
  <dcterms:created xsi:type="dcterms:W3CDTF">2020-05-13T16:20:00Z</dcterms:created>
  <dcterms:modified xsi:type="dcterms:W3CDTF">2020-05-13T16:33:00Z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