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pPr>
      <w:r>
        <w:br/>
      </w:r>
      <w:r>
        <w:br/>
      </w:r>
      <w:r>
        <w:br/>
      </w:r>
      <w:r>
        <w:br/>
      </w:r>
      <w:r>
        <w:br/>
      </w:r>
    </w:p>
    <w:p>
      <w:pPr>
        <w:spacing w:after="360"/>
        <w:jc w:val="center"/>
      </w:pPr>
      <w:r>
        <w:rPr>
          <w:rFonts w:ascii="Calibri" w:hAnsi="Calibri" w:eastAsia="Calibri"/>
          <w:b/>
          <w:color w:val="B78B2E"/>
          <w:sz w:val="21"/>
        </w:rPr>
        <w:t>TECHNISCHES HANDBUCH</w:t>
      </w:r>
    </w:p>
    <w:p>
      <w:pPr>
        <w:pStyle w:val="Title"/>
        <w:jc w:val="center"/>
      </w:pPr>
      <w:r>
        <w:rPr>
          <w:rFonts w:ascii="Calibri" w:hAnsi="Calibri" w:eastAsia="Calibri"/>
          <w:b/>
          <w:color w:val="203748"/>
          <w:sz w:val="68"/>
        </w:rPr>
        <w:t>AINA</w:t>
      </w:r>
    </w:p>
    <w:p>
      <w:pPr>
        <w:pStyle w:val="Subtitle"/>
        <w:jc w:val="center"/>
      </w:pPr>
      <w:r>
        <w:rPr>
          <w:rFonts w:ascii="Calibri" w:hAnsi="Calibri" w:eastAsia="Calibri"/>
          <w:color w:val="1F4D78"/>
          <w:sz w:val="34"/>
        </w:rPr>
        <w:t>LabCobot Dual-Vision Gateway</w:t>
      </w:r>
    </w:p>
    <w:p>
      <w:pPr>
        <w:spacing w:after="440"/>
        <w:jc w:val="center"/>
      </w:pPr>
      <w:r>
        <w:rPr>
          <w:rFonts w:ascii="Calibri" w:hAnsi="Calibri" w:eastAsia="Calibri"/>
          <w:b/>
          <w:color w:val="B78B2E"/>
          <w:sz w:val="21"/>
        </w:rPr>
        <w:t>xArm Lite 6  |  2 x Luxonis OAK-D Lite  |  Raspberry Pi  |  LVGL</w:t>
      </w:r>
    </w:p>
    <w:p>
      <w:pPr>
        <w:pStyle w:val="CalloutWarning"/>
      </w:pPr>
      <w:r>
        <w:rPr>
          <w:rFonts w:ascii="Calibri" w:hAnsi="Calibri" w:eastAsia="Calibri"/>
          <w:b/>
          <w:color w:val="7A5A00"/>
          <w:sz w:val="21"/>
        </w:rPr>
        <w:t xml:space="preserve">Betriebsstatus: </w:t>
      </w:r>
      <w:r>
        <w:rPr>
          <w:rFonts w:ascii="Calibri" w:hAnsi="Calibri" w:eastAsia="Calibri"/>
          <w:color w:val="7A5A00"/>
          <w:sz w:val="21"/>
        </w:rPr>
        <w:t>Der am 13.08.2026 erneut verifizierte Zielstand ist ein read-only Dual-Vision-Gateway. Robotische Bewegung ist gesperrt und nicht kommissioniert. Dieses Handbuch dokumentiert die sichere Inbetriebnahme, Bedienung und Erweiterung - es erteilt keine Bewegungsfreigabe. Eine künftige Freigabe gehört ausschließlich zu operator oder production, niemals zu gateway.</w:t>
      </w:r>
    </w:p>
    <w:p>
      <w:pPr>
        <w:spacing w:before="840" w:after="0"/>
        <w:jc w:val="center"/>
      </w:pPr>
      <w:r>
        <w:rPr>
          <w:rFonts w:ascii="Calibri" w:hAnsi="Calibri" w:eastAsia="Calibri"/>
          <w:b/>
          <w:color w:val="203748"/>
          <w:sz w:val="22"/>
        </w:rPr>
        <w:t>Dokumentversion 1.2  |  13. August 2026</w:t>
      </w:r>
    </w:p>
    <w:p>
      <w:pPr>
        <w:spacing w:after="0"/>
        <w:jc w:val="center"/>
      </w:pPr>
      <w:r>
        <w:rPr>
          <w:rFonts w:ascii="Calibri" w:hAnsi="Calibri" w:eastAsia="Calibri"/>
          <w:i/>
          <w:color w:val="64717E"/>
          <w:sz w:val="19"/>
        </w:rPr>
        <w:t>SupraTix GmbH  |  AINA Integrationsstand</w:t>
      </w:r>
    </w:p>
    <w:p>
      <w:pPr>
        <w:sectPr>
          <w:pgSz w:w="12240" w:h="15840"/>
          <w:pgMar w:top="1440" w:right="1440" w:bottom="1440" w:left="1440" w:header="708" w:footer="708" w:gutter="0"/>
          <w:cols w:space="720"/>
          <w:docGrid w:linePitch="360"/>
        </w:sectPr>
      </w:pPr>
    </w:p>
    <w:p>
      <w:pPr>
        <w:pStyle w:val="Heading1"/>
      </w:pPr>
      <w:r>
        <w:t>Dokumentsteuerung</w:t>
      </w:r>
    </w:p>
    <w:tbl>
      <w:tblPr>
        <w:tblStyle w:val="TableGrid"/>
        <w:jc w:val="left"/>
        <w:tblLook w:firstColumn="1" w:firstRow="1" w:lastColumn="0" w:lastRow="0" w:noHBand="0" w:noVBand="1" w:val="04A0"/>
        <w:tblW w:w="9360" w:type="dxa"/>
        <w:tblInd w:w="120" w:type="dxa"/>
        <w:tblLayout w:type="fixed"/>
      </w:tblPr>
      <w:tblGrid>
        <w:gridCol w:w="2700"/>
        <w:gridCol w:w="6660"/>
      </w:tblGrid>
      <w:tr>
        <w:trPr>
          <w:tblHeader w:val="true"/>
        </w:trPr>
        <w:tc>
          <w:tcPr>
            <w:shd w:fill="E8EEF5"/>
            <w:vAlign w:val="center"/>
            <w:tcW w:w="2700" w:type="dxa"/>
            <w:tcMar>
              <w:top w:w="80" w:type="dxa"/>
              <w:bottom w:w="80" w:type="dxa"/>
              <w:start w:w="120" w:type="dxa"/>
              <w:end w:w="120" w:type="dxa"/>
            </w:tcMar>
          </w:tcPr>
          <w:p>
            <w:pPr>
              <w:spacing w:before="20" w:after="20"/>
              <w:jc w:val="center"/>
            </w:pPr>
            <w:r>
              <w:rPr>
                <w:rFonts w:ascii="Calibri" w:hAnsi="Calibri" w:eastAsia="Calibri"/>
                <w:b/>
                <w:color w:val="203748"/>
                <w:sz w:val="18"/>
              </w:rPr>
              <w:t>Merkmal</w:t>
            </w:r>
          </w:p>
        </w:tc>
        <w:tc>
          <w:tcPr>
            <w:shd w:fill="E8EEF5"/>
            <w:vAlign w:val="center"/>
            <w:tcW w:w="6660" w:type="dxa"/>
            <w:tcMar>
              <w:top w:w="80" w:type="dxa"/>
              <w:bottom w:w="80" w:type="dxa"/>
              <w:start w:w="120" w:type="dxa"/>
              <w:end w:w="120" w:type="dxa"/>
            </w:tcMar>
          </w:tcPr>
          <w:p>
            <w:pPr>
              <w:spacing w:before="20" w:after="20"/>
              <w:jc w:val="center"/>
            </w:pPr>
            <w:r>
              <w:rPr>
                <w:rFonts w:ascii="Calibri" w:hAnsi="Calibri" w:eastAsia="Calibri"/>
                <w:b/>
                <w:color w:val="203748"/>
                <w:sz w:val="18"/>
              </w:rPr>
              <w:t>Wert</w:t>
            </w:r>
          </w:p>
        </w:tc>
      </w:tr>
      <w:tr>
        <w:trPr>
          <w:cantSplit/>
        </w:trPr>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Dokumentversion</w:t>
            </w:r>
          </w:p>
        </w:tc>
        <w:tc>
          <w:tcPr>
            <w:vAlign w:val="center"/>
            <w:tcW w:w="6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1.2</w:t>
            </w:r>
          </w:p>
        </w:tc>
      </w:tr>
      <w:tr>
        <w:trPr>
          <w:cantSplit/>
        </w:trPr>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Dokument</w:t>
            </w:r>
          </w:p>
        </w:tc>
        <w:tc>
          <w:tcPr>
            <w:vAlign w:val="center"/>
            <w:tcW w:w="6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AINA - Technische Dokumentation und Betriebshandbuch (Deutsch)</w:t>
            </w:r>
          </w:p>
        </w:tc>
      </w:tr>
      <w:tr>
        <w:trPr>
          <w:cantSplit/>
        </w:trPr>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Geltungsbereich</w:t>
            </w:r>
          </w:p>
        </w:tc>
        <w:tc>
          <w:tcPr>
            <w:vAlign w:val="center"/>
            <w:tcW w:w="6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Softwarestand des Repository und verifizierter Raspberry-Pi-Gateway-Snapshot vom 13.08.2026</w:t>
            </w:r>
          </w:p>
        </w:tc>
      </w:tr>
      <w:tr>
        <w:trPr>
          <w:cantSplit/>
        </w:trPr>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Zielgruppen</w:t>
            </w:r>
          </w:p>
        </w:tc>
        <w:tc>
          <w:tcPr>
            <w:vAlign w:val="center"/>
            <w:tcW w:w="6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Bedienpersonal, Instandhaltung, Integrator, IT/OT-Administration, Abnahme</w:t>
            </w:r>
          </w:p>
        </w:tc>
      </w:tr>
      <w:tr>
        <w:trPr>
          <w:cantSplit/>
        </w:trPr>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Normative Hardwarequellen</w:t>
            </w:r>
          </w:p>
        </w:tc>
        <w:tc>
          <w:tcPr>
            <w:vAlign w:val="center"/>
            <w:tcW w:w="6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UFACTORY Lite 6 User Manual V2.3.0; Luxonis OAK-D Lite Datenblatt (12/2021); Luxonis EU Declaration of Conformity (17.10.2022)</w:t>
            </w:r>
          </w:p>
        </w:tc>
      </w:tr>
      <w:tr>
        <w:trPr>
          <w:cantSplit/>
        </w:trPr>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Regulatorischer Bezugsrahmen</w:t>
            </w:r>
          </w:p>
        </w:tc>
        <w:tc>
          <w:tcPr>
            <w:vAlign w:val="center"/>
            <w:tcW w:w="6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Verordnung (EU) 2024/1781 (ESPR) und Durchführungsstand zum 13.08.2026; Readiness-Einordnung, keine Rechtsberatung</w:t>
            </w:r>
          </w:p>
        </w:tc>
      </w:tr>
      <w:tr>
        <w:trPr>
          <w:cantSplit/>
        </w:trPr>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Vertraulichkeit</w:t>
            </w:r>
          </w:p>
        </w:tc>
        <w:tc>
          <w:tcPr>
            <w:vAlign w:val="center"/>
            <w:tcW w:w="6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Technisch; keine Passwörter, Geräte-Secrets oder OTA-Schlüssel enthalten</w:t>
            </w:r>
          </w:p>
        </w:tc>
      </w:tr>
    </w:tbl>
    <w:p>
      <w:pPr>
        <w:spacing w:before="80" w:after="80"/>
      </w:pPr>
    </w:p>
    <w:p>
      <w:pPr>
        <w:pStyle w:val="CalloutNote"/>
      </w:pPr>
      <w:r>
        <w:rPr>
          <w:rFonts w:ascii="Calibri" w:hAnsi="Calibri" w:eastAsia="Calibri"/>
          <w:b/>
          <w:color w:val="1F4D78"/>
          <w:sz w:val="21"/>
        </w:rPr>
        <w:t xml:space="preserve">Statuslegende: </w:t>
      </w:r>
      <w:r>
        <w:rPr>
          <w:rFonts w:ascii="Calibri" w:hAnsi="Calibri" w:eastAsia="Calibri"/>
          <w:color w:val="1F4D78"/>
          <w:sz w:val="21"/>
        </w:rPr>
        <w:t>Implementiert = im Code vorhanden und getestet. Konfiguriert = auf dem Zielsystem provisioniert. Dormant/nicht kommissioniert = Code vorhanden, aber notwendige Artefakte, Identitäten oder physische Evidenz fehlen. Verboten = absichtlich fail-closed und nicht reaktivierbar.</w:t>
      </w:r>
    </w:p>
    <w:p>
      <w:pPr>
        <w:pStyle w:val="Heading1"/>
      </w:pPr>
      <w:r>
        <w:t>Inhaltsübersicht</w:t>
      </w:r>
    </w:p>
    <w:p>
      <w:pPr>
        <w:pStyle w:val="ListBullet"/>
      </w:pPr>
      <w:r>
        <w:rPr>
          <w:rFonts w:ascii="Calibri" w:hAnsi="Calibri" w:eastAsia="Calibri"/>
          <w:color w:val="17202A"/>
          <w:sz w:val="22"/>
        </w:rPr>
        <w:tab/>
        <w:t>1 Systemgrenzen und aktueller Zielstand</w:t>
      </w:r>
    </w:p>
    <w:p>
      <w:pPr>
        <w:pStyle w:val="ListBullet"/>
      </w:pPr>
      <w:r>
        <w:rPr>
          <w:rFonts w:ascii="Calibri" w:hAnsi="Calibri" w:eastAsia="Calibri"/>
          <w:color w:val="17202A"/>
          <w:sz w:val="22"/>
        </w:rPr>
        <w:tab/>
        <w:t>2 Architektur und Datenflüsse</w:t>
      </w:r>
    </w:p>
    <w:p>
      <w:pPr>
        <w:pStyle w:val="ListBullet"/>
      </w:pPr>
      <w:r>
        <w:rPr>
          <w:rFonts w:ascii="Calibri" w:hAnsi="Calibri" w:eastAsia="Calibri"/>
          <w:color w:val="17202A"/>
          <w:sz w:val="22"/>
        </w:rPr>
        <w:tab/>
        <w:t>3 Hardware, Stückliste und Montage</w:t>
      </w:r>
    </w:p>
    <w:p>
      <w:pPr>
        <w:pStyle w:val="ListBullet"/>
      </w:pPr>
      <w:r>
        <w:rPr>
          <w:rFonts w:ascii="Calibri" w:hAnsi="Calibri" w:eastAsia="Calibri"/>
          <w:color w:val="17202A"/>
          <w:sz w:val="22"/>
        </w:rPr>
        <w:tab/>
        <w:t>4 Netzwerk und Kommunikationswege</w:t>
      </w:r>
    </w:p>
    <w:p>
      <w:pPr>
        <w:pStyle w:val="ListBullet"/>
      </w:pPr>
      <w:r>
        <w:rPr>
          <w:rFonts w:ascii="Calibri" w:hAnsi="Calibri" w:eastAsia="Calibri"/>
          <w:color w:val="17202A"/>
          <w:sz w:val="22"/>
        </w:rPr>
        <w:tab/>
        <w:t>5 Software, Dienste und Autostart</w:t>
      </w:r>
    </w:p>
    <w:p>
      <w:pPr>
        <w:pStyle w:val="ListBullet"/>
      </w:pPr>
      <w:r>
        <w:rPr>
          <w:rFonts w:ascii="Calibri" w:hAnsi="Calibri" w:eastAsia="Calibri"/>
          <w:color w:val="17202A"/>
          <w:sz w:val="22"/>
        </w:rPr>
        <w:tab/>
        <w:t>6 LVGL Bedienoberfläche (6 Tasten)</w:t>
      </w:r>
    </w:p>
    <w:p>
      <w:pPr>
        <w:pStyle w:val="ListBullet"/>
      </w:pPr>
      <w:r>
        <w:rPr>
          <w:rFonts w:ascii="Calibri" w:hAnsi="Calibri" w:eastAsia="Calibri"/>
          <w:color w:val="17202A"/>
          <w:sz w:val="22"/>
        </w:rPr>
        <w:tab/>
        <w:t>7 Funktionale Workflows</w:t>
      </w:r>
    </w:p>
    <w:p>
      <w:pPr>
        <w:pStyle w:val="ListBullet"/>
      </w:pPr>
      <w:r>
        <w:rPr>
          <w:rFonts w:ascii="Calibri" w:hAnsi="Calibri" w:eastAsia="Calibri"/>
          <w:color w:val="17202A"/>
          <w:sz w:val="22"/>
        </w:rPr>
        <w:tab/>
        <w:t>8 Sicherheit und Bewegungsfreigabe</w:t>
      </w:r>
    </w:p>
    <w:p>
      <w:pPr>
        <w:pStyle w:val="ListBullet"/>
      </w:pPr>
      <w:r>
        <w:rPr>
          <w:rFonts w:ascii="Calibri" w:hAnsi="Calibri" w:eastAsia="Calibri"/>
          <w:color w:val="17202A"/>
          <w:sz w:val="22"/>
        </w:rPr>
        <w:tab/>
        <w:t>9 Betrieb und Bedienverfahren</w:t>
      </w:r>
    </w:p>
    <w:p>
      <w:pPr>
        <w:pStyle w:val="ListBullet"/>
      </w:pPr>
      <w:r>
        <w:rPr>
          <w:rFonts w:ascii="Calibri" w:hAnsi="Calibri" w:eastAsia="Calibri"/>
          <w:color w:val="17202A"/>
          <w:sz w:val="22"/>
        </w:rPr>
        <w:tab/>
        <w:t>10 DataHub, Datasets und Outbox</w:t>
      </w:r>
    </w:p>
    <w:p>
      <w:pPr>
        <w:pStyle w:val="ListBullet"/>
      </w:pPr>
      <w:r>
        <w:rPr>
          <w:rFonts w:ascii="Calibri" w:hAnsi="Calibri" w:eastAsia="Calibri"/>
          <w:color w:val="17202A"/>
          <w:sz w:val="22"/>
        </w:rPr>
        <w:tab/>
        <w:t>11 Secure OTA und Rollback</w:t>
      </w:r>
    </w:p>
    <w:p>
      <w:pPr>
        <w:pStyle w:val="ListBullet"/>
      </w:pPr>
      <w:r>
        <w:rPr>
          <w:rFonts w:ascii="Calibri" w:hAnsi="Calibri" w:eastAsia="Calibri"/>
          <w:color w:val="17202A"/>
          <w:sz w:val="22"/>
        </w:rPr>
        <w:tab/>
        <w:t>12 Inbetriebnahme und Kommissionierung</w:t>
      </w:r>
    </w:p>
    <w:p>
      <w:pPr>
        <w:pStyle w:val="ListBullet"/>
      </w:pPr>
      <w:r>
        <w:rPr>
          <w:rFonts w:ascii="Calibri" w:hAnsi="Calibri" w:eastAsia="Calibri"/>
          <w:color w:val="17202A"/>
          <w:sz w:val="22"/>
        </w:rPr>
        <w:tab/>
        <w:t>13 Wartung, Diagnose und Cybersecurity</w:t>
      </w:r>
    </w:p>
    <w:p>
      <w:pPr>
        <w:pStyle w:val="ListBullet"/>
      </w:pPr>
      <w:r>
        <w:rPr>
          <w:rFonts w:ascii="Calibri" w:hAnsi="Calibri" w:eastAsia="Calibri"/>
          <w:color w:val="17202A"/>
          <w:sz w:val="22"/>
        </w:rPr>
        <w:tab/>
        <w:t>14 Abnahme und Troubleshooting</w:t>
      </w:r>
    </w:p>
    <w:p>
      <w:pPr>
        <w:pStyle w:val="ListBullet"/>
      </w:pPr>
      <w:r>
        <w:rPr>
          <w:rFonts w:ascii="Calibri" w:hAnsi="Calibri" w:eastAsia="Calibri"/>
          <w:color w:val="17202A"/>
          <w:sz w:val="22"/>
        </w:rPr>
        <w:tab/>
        <w:t>15 EU-Ökodesign-Verordnung (EU) 2024/1781 / ESPR</w:t>
      </w:r>
    </w:p>
    <w:p>
      <w:pPr>
        <w:pStyle w:val="ListBullet"/>
      </w:pPr>
      <w:r>
        <w:rPr>
          <w:rFonts w:ascii="Calibri" w:hAnsi="Calibri" w:eastAsia="Calibri"/>
          <w:color w:val="17202A"/>
          <w:sz w:val="22"/>
        </w:rPr>
        <w:tab/>
        <w:t>Anhänge: Konfiguration, API und Statusschemata</w:t>
      </w:r>
    </w:p>
    <w:p>
      <w:pPr>
        <w:pStyle w:val="Heading1"/>
        <w:pageBreakBefore/>
      </w:pPr>
      <w:r>
        <w:t>1  Systemgrenzen und aktueller Zielstand</w:t>
      </w:r>
    </w:p>
    <w:p>
      <w:pPr>
        <w:pStyle w:val="Heading2"/>
      </w:pPr>
      <w:r>
        <w:t>1.1  Zweck</w:t>
      </w:r>
    </w:p>
    <w:p>
      <w:pPr>
        <w:spacing w:before="0" w:after="120"/>
      </w:pPr>
      <w:r>
        <w:rPr>
          <w:rFonts w:ascii="Calibri" w:hAnsi="Calibri" w:eastAsia="Calibri"/>
          <w:b w:val="0"/>
          <w:i w:val="0"/>
          <w:color w:val="17202A"/>
          <w:sz w:val="22"/>
        </w:rPr>
        <w:t>AINA ist eine lokale Robotik- und Bildverarbeitungsstation. Der installierte Zielstand koppelt zwei OAK-D-Lite-Kameras und die Ethernet-Telemetrie eines xArm Lite 6 mit einem separaten, touchfähigen LVGL-Kiosk. Das Backend sammelt Gesundheits- und Messdaten; die UI zeigt sechs klar getrennte Funktionsbereiche.</w:t>
      </w:r>
    </w:p>
    <w:p>
      <w:pPr>
        <w:pStyle w:val="CalloutDanger"/>
      </w:pPr>
      <w:r>
        <w:rPr>
          <w:rFonts w:ascii="Calibri" w:hAnsi="Calibri" w:eastAsia="Calibri"/>
          <w:b/>
          <w:color w:val="9B1C1C"/>
          <w:sz w:val="21"/>
        </w:rPr>
        <w:t xml:space="preserve">Sicherheitsgrenze: </w:t>
      </w:r>
      <w:r>
        <w:rPr>
          <w:rFonts w:ascii="Calibri" w:hAnsi="Calibri" w:eastAsia="Calibri"/>
          <w:color w:val="9B1C1C"/>
          <w:sz w:val="21"/>
        </w:rPr>
        <w:t>Die aktuelle Installation ist kein Bewegungscontroller. Der Modus gateway bleibt dauerhaft read-only und darf beobachten, anzeigen und signierte Updates prüfen, aber niemals Motion besitzen. Motorfreigabe, Roboterbewegung, Search Path und der 15-Sekunden-Datasetlauf bleiben gesperrt. Eine spätere, standortspezifisch kommissionierte Motionfunktion benötigt operator oder production und sämtliche Nachweise aus Kapitel 12.</w:t>
      </w:r>
    </w:p>
    <w:p>
      <w:pPr>
        <w:pStyle w:val="Heading2"/>
      </w:pPr>
      <w:r>
        <w:t>1.2  Verifizierter Deployment-Snapshot</w:t>
      </w:r>
    </w:p>
    <w:p>
      <w:pPr>
        <w:spacing w:before="0" w:after="120"/>
      </w:pPr>
      <w:r>
        <w:rPr>
          <w:rFonts w:ascii="Calibri" w:hAnsi="Calibri" w:eastAsia="Calibri"/>
          <w:b w:val="0"/>
          <w:i w:val="0"/>
          <w:color w:val="17202A"/>
          <w:sz w:val="22"/>
        </w:rPr>
        <w:t>Der Zielstand wurde am 13.08.2026 zwischen 12:12 und 12:17 CEST erneut ausschließlich read-only geprüft. Dabei wurde keine POST-Action ausgeführt, kein Motor freigegeben, kein Fehler gelöscht, kein Safety-Profil angewendet, keine Datei verändert und kein Dienst neu gestartet.</w:t>
      </w:r>
    </w:p>
    <w:tbl>
      <w:tblPr>
        <w:tblStyle w:val="TableGrid"/>
        <w:jc w:val="left"/>
        <w:tblLook w:firstColumn="1" w:firstRow="1" w:lastColumn="0" w:lastRow="0" w:noHBand="0" w:noVBand="1" w:val="04A0"/>
        <w:tblW w:w="9360" w:type="dxa"/>
        <w:tblInd w:w="120" w:type="dxa"/>
        <w:tblLayout w:type="fixed"/>
      </w:tblPr>
      <w:tblGrid>
        <w:gridCol w:w="2200"/>
        <w:gridCol w:w="7160"/>
      </w:tblGrid>
      <w:tr>
        <w:trPr>
          <w:tblHeader w:val="true"/>
        </w:trPr>
        <w:tc>
          <w:tcPr>
            <w:shd w:fill="E8EEF5"/>
            <w:vAlign w:val="center"/>
            <w:tcW w:w="2200" w:type="dxa"/>
            <w:tcMar>
              <w:top w:w="80" w:type="dxa"/>
              <w:bottom w:w="80" w:type="dxa"/>
              <w:start w:w="120" w:type="dxa"/>
              <w:end w:w="120" w:type="dxa"/>
            </w:tcMar>
          </w:tcPr>
          <w:p>
            <w:pPr>
              <w:spacing w:before="20" w:after="20"/>
              <w:jc w:val="center"/>
            </w:pPr>
            <w:r>
              <w:rPr>
                <w:rFonts w:ascii="Calibri" w:hAnsi="Calibri" w:eastAsia="Calibri"/>
                <w:b/>
                <w:color w:val="203748"/>
                <w:sz w:val="17"/>
              </w:rPr>
              <w:t>Bereich</w:t>
            </w:r>
          </w:p>
        </w:tc>
        <w:tc>
          <w:tcPr>
            <w:shd w:fill="E8EEF5"/>
            <w:vAlign w:val="center"/>
            <w:tcW w:w="7160" w:type="dxa"/>
            <w:tcMar>
              <w:top w:w="80" w:type="dxa"/>
              <w:bottom w:w="80" w:type="dxa"/>
              <w:start w:w="120" w:type="dxa"/>
              <w:end w:w="120" w:type="dxa"/>
            </w:tcMar>
          </w:tcPr>
          <w:p>
            <w:pPr>
              <w:spacing w:before="20" w:after="20"/>
              <w:jc w:val="center"/>
            </w:pPr>
            <w:r>
              <w:rPr>
                <w:rFonts w:ascii="Calibri" w:hAnsi="Calibri" w:eastAsia="Calibri"/>
                <w:b/>
                <w:color w:val="203748"/>
                <w:sz w:val="17"/>
              </w:rPr>
              <w:t>Verifizierter Zustand am 13.08.2026</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Host</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Debian/Raspberry Pi, Kernel 6.18.39; Python 3.13.5</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Dienste</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labcobot und labcobot-lvgl enabled + active; Start 07:17:21 beziehungsweise 07:18:02; jeweils NRestarts=0</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Backend</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Runtime-Modus gateway; /healthz HTTP 200, ready=true, status=ok, problems=[]</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Kameras</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tool und workspace: DepthAI/OAK, state=running, fresh=true, errors=0</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Roboter</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Lite6 via Ethernet; SDK 1.18.4, Firmware v1.12.2, 6 Achsen, Gerätetyp 9, State 4, Mode 0, stationär, Error/Warning 0; alle sechs Motor-Enable- und Brake-Rohwerte 0</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Reduced Safety</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Reduced Mode aus; Safety Boundary aus; Reduced Configuration ungültig; Collision Rebound an; Control Envelope nicht ready</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Motion</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LOCKED; capable=false, armed=false, live=false; Safety Configurator unavailable (kein geprüftes Profil installiert)</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Motion-Artefakte</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Kein Safety-Profil, keine Eye-in-Hand-Kalibrierung, kein Primitive und kein geprüftes Ventilmodell/-manifest installiert</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Softwarebindung</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Laufender Backend-/LVGL-Stand weicht vom aktuellen, mit 1.024 Tests geprüften Repository ab; kein versioniertes Deployment-Receipt vorhanden</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OTA</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konfiguriert; installierte Version 1.0.0; Status idle</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Display/Touch</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1024 x 600, Zoom 1, SDL/X11 über Xwayland/labwc, exklusiver Kiosk; sechs Starttasten sichtbar; QDTECH-Touch auf HDMI-A-2 abgebildet</w:t>
            </w:r>
          </w:p>
        </w:tc>
      </w:tr>
      <w:tr>
        <w:trPr>
          <w:cantSplit/>
        </w:trPr>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Speicher</w:t>
            </w:r>
          </w:p>
        </w:tc>
        <w:tc>
          <w:tcPr>
            <w:vAlign w:val="center"/>
            <w:tcW w:w="7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117 GB gesamt, 103 GB frei zum Prüfzeitpunkt</w:t>
            </w:r>
          </w:p>
        </w:tc>
      </w:tr>
    </w:tbl>
    <w:p>
      <w:pPr>
        <w:spacing w:before="80" w:after="80"/>
      </w:pPr>
    </w:p>
    <w:p>
      <w:pPr>
        <w:pStyle w:val="CalloutWarning"/>
      </w:pPr>
      <w:r>
        <w:rPr>
          <w:rFonts w:ascii="Calibri" w:hAnsi="Calibri" w:eastAsia="Calibri"/>
          <w:b/>
          <w:color w:val="7A5A00"/>
          <w:sz w:val="21"/>
        </w:rPr>
        <w:t xml:space="preserve">Einordnung: </w:t>
      </w:r>
      <w:r>
        <w:rPr>
          <w:rFonts w:ascii="Calibri" w:hAnsi="Calibri" w:eastAsia="Calibri"/>
          <w:color w:val="7A5A00"/>
          <w:sz w:val="21"/>
        </w:rPr>
        <w:t>Gateway-Telemetrie only; nicht motion-kommissioniert. Die IP-Adresse und Geräte-Secrets gehören in die geschützte Standortkonfiguration, nicht in ein Benutzerhandbuch.</w:t>
      </w:r>
    </w:p>
    <w:p>
      <w:pPr>
        <w:pStyle w:val="CalloutNote"/>
      </w:pPr>
      <w:r>
        <w:rPr>
          <w:rFonts w:ascii="Calibri" w:hAnsi="Calibri" w:eastAsia="Calibri"/>
          <w:b/>
          <w:color w:val="1F4D78"/>
          <w:sz w:val="21"/>
        </w:rPr>
        <w:t xml:space="preserve">Evidenzgrenze: </w:t>
      </w:r>
      <w:r>
        <w:rPr>
          <w:rFonts w:ascii="Calibri" w:hAnsi="Calibri" w:eastAsia="Calibri"/>
          <w:color w:val="1F4D78"/>
          <w:sz w:val="21"/>
        </w:rPr>
        <w:t>Die Tabelle ist eine zeitgebundene, secret-freie Betriebsbeobachtung aus dem Arbeitsthread. Im Repository liegt dafür kein versioniertes, digestgebundenes Deployment-Receipt oder Rohsnapshot. Sie belegt weder, dass der aktuelle lokale Worktree installiert ist, noch den heutigen Livezustand. Vor Inbetriebnahme und nach relevanten Änderungen ist neue, nachvollziehbar archivierte Deployment-Evidenz zu erzeugen.</w:t>
      </w:r>
    </w:p>
    <w:p>
      <w:pPr>
        <w:pStyle w:val="CalloutDanger"/>
      </w:pPr>
      <w:r>
        <w:rPr>
          <w:rFonts w:ascii="Calibri" w:hAnsi="Calibri" w:eastAsia="Calibri"/>
          <w:b/>
          <w:color w:val="9B1C1C"/>
          <w:sz w:val="21"/>
        </w:rPr>
        <w:t xml:space="preserve">Gateway-Profil: </w:t>
      </w:r>
      <w:r>
        <w:rPr>
          <w:rFonts w:ascii="Calibri" w:hAnsi="Calibri" w:eastAsia="Calibri"/>
          <w:color w:val="9B1C1C"/>
          <w:sz w:val="21"/>
        </w:rPr>
        <w:t>Ein read-write Gateway ist kein zulässiges Profil. gateway zusammen mit aktivierter xArm-Motion wird vom Konfigurationsvertrag abgewiesen. Weder UI-Text noch ein einzelnes Environmentflag darf diese Grenze in operator oder production umetikettieren.</w:t>
      </w:r>
    </w:p>
    <w:p>
      <w:pPr>
        <w:pStyle w:val="Heading2"/>
      </w:pPr>
      <w:r>
        <w:t>1.3  Funktionsstatus</w:t>
      </w:r>
    </w:p>
    <w:tbl>
      <w:tblPr>
        <w:tblStyle w:val="TableGrid"/>
        <w:jc w:val="left"/>
        <w:tblLook w:firstColumn="1" w:firstRow="1" w:lastColumn="0" w:lastRow="0" w:noHBand="0" w:noVBand="1" w:val="04A0"/>
        <w:tblW w:w="9360" w:type="dxa"/>
        <w:tblInd w:w="120" w:type="dxa"/>
        <w:tblLayout w:type="fixed"/>
      </w:tblPr>
      <w:tblGrid>
        <w:gridCol w:w="2200"/>
        <w:gridCol w:w="2200"/>
        <w:gridCol w:w="4960"/>
      </w:tblGrid>
      <w:tr>
        <w:trPr>
          <w:tblHeader w:val="true"/>
        </w:trPr>
        <w:tc>
          <w:tcPr>
            <w:shd w:fill="E8EEF5"/>
            <w:vAlign w:val="center"/>
            <w:tcW w:w="2200" w:type="dxa"/>
            <w:tcMar>
              <w:top w:w="80" w:type="dxa"/>
              <w:bottom w:w="80" w:type="dxa"/>
              <w:start w:w="120" w:type="dxa"/>
              <w:end w:w="120" w:type="dxa"/>
            </w:tcMar>
          </w:tcPr>
          <w:p>
            <w:pPr>
              <w:spacing w:before="20" w:after="20"/>
              <w:jc w:val="center"/>
            </w:pPr>
            <w:r>
              <w:rPr>
                <w:rFonts w:ascii="Calibri" w:hAnsi="Calibri" w:eastAsia="Calibri"/>
                <w:b/>
                <w:color w:val="203748"/>
                <w:sz w:val="17"/>
              </w:rPr>
              <w:t>Funktion</w:t>
            </w:r>
          </w:p>
        </w:tc>
        <w:tc>
          <w:tcPr>
            <w:shd w:fill="E8EEF5"/>
            <w:vAlign w:val="center"/>
            <w:tcW w:w="2200" w:type="dxa"/>
            <w:tcMar>
              <w:top w:w="80" w:type="dxa"/>
              <w:bottom w:w="80" w:type="dxa"/>
              <w:start w:w="120" w:type="dxa"/>
              <w:end w:w="120" w:type="dxa"/>
            </w:tcMar>
          </w:tcPr>
          <w:p>
            <w:pPr>
              <w:spacing w:before="20" w:after="20"/>
              <w:jc w:val="center"/>
            </w:pPr>
            <w:r>
              <w:rPr>
                <w:rFonts w:ascii="Calibri" w:hAnsi="Calibri" w:eastAsia="Calibri"/>
                <w:b/>
                <w:color w:val="203748"/>
                <w:sz w:val="17"/>
              </w:rPr>
              <w:t>Status</w:t>
            </w:r>
          </w:p>
        </w:tc>
        <w:tc>
          <w:tcPr>
            <w:shd w:fill="E8EEF5"/>
            <w:vAlign w:val="center"/>
            <w:tcW w:w="4960" w:type="dxa"/>
            <w:tcMar>
              <w:top w:w="80" w:type="dxa"/>
              <w:bottom w:w="80" w:type="dxa"/>
              <w:start w:w="120" w:type="dxa"/>
              <w:end w:w="120" w:type="dxa"/>
            </w:tcMar>
          </w:tcPr>
          <w:p>
            <w:pPr>
              <w:spacing w:before="20" w:after="20"/>
              <w:jc w:val="center"/>
            </w:pPr>
            <w:r>
              <w:rPr>
                <w:rFonts w:ascii="Calibri" w:hAnsi="Calibri" w:eastAsia="Calibri"/>
                <w:b/>
                <w:color w:val="203748"/>
                <w:sz w:val="17"/>
              </w:rPr>
              <w:t>Einordnung</w:t>
            </w:r>
          </w:p>
        </w:tc>
      </w:tr>
      <w:tr>
        <w:trPr>
          <w:cantSplit/>
        </w:trPr>
        <w:tc>
          <w:tcPr>
            <w:vAlign w:val="center"/>
            <w:tcW w:w="22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Gateway-Telemetrie</w:t>
            </w:r>
          </w:p>
        </w:tc>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Implementiert + aktiv</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Zwei OAK-Streams, Lite6-Telemetrie, Metrics, OTA-Status, LVGL-Kiosk</w:t>
            </w:r>
          </w:p>
        </w:tc>
      </w:tr>
      <w:tr>
        <w:trPr>
          <w:cantSplit/>
        </w:trPr>
        <w:tc>
          <w:tcPr>
            <w:vAlign w:val="center"/>
            <w:tcW w:w="22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Robotersuche</w:t>
            </w:r>
          </w:p>
        </w:tc>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Implementiert, nicht kommissioniert</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Nur Operator/Production nach vollständiger Sicherheits-, Kalibrier- und Pfadfreigabe</w:t>
            </w:r>
          </w:p>
        </w:tc>
      </w:tr>
      <w:tr>
        <w:trPr>
          <w:cantSplit/>
        </w:trPr>
        <w:tc>
          <w:tcPr>
            <w:vAlign w:val="center"/>
            <w:tcW w:w="22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15-s-Datasetlauf</w:t>
            </w:r>
          </w:p>
        </w:tc>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Implementiert, nicht konfiguriert</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Workcell-Profil, zwei signierte Evidenzartefakte und DataHub-Datasetbindung fehlen am Zielsystem</w:t>
            </w:r>
          </w:p>
        </w:tc>
      </w:tr>
      <w:tr>
        <w:trPr>
          <w:cantSplit/>
        </w:trPr>
        <w:tc>
          <w:tcPr>
            <w:vAlign w:val="center"/>
            <w:tcW w:w="22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DataHub-Publikation</w:t>
            </w:r>
          </w:p>
        </w:tc>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Implementiert, am Ziel dormant</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Durable Outbox vorhanden; aktuelle Gateway-Konfiguration meldet keine aktive Dataset-Erfassung</w:t>
            </w:r>
          </w:p>
        </w:tc>
      </w:tr>
      <w:tr>
        <w:trPr>
          <w:cantSplit/>
        </w:trPr>
        <w:tc>
          <w:tcPr>
            <w:vAlign w:val="center"/>
            <w:tcW w:w="22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Secure OTA</w:t>
            </w:r>
          </w:p>
        </w:tc>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Implementiert + konfiguriert</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Signierte Prüfung; installierte Version 1.0.0, Status idle im verifizierten Snapshot</w:t>
            </w:r>
          </w:p>
        </w:tc>
      </w:tr>
      <w:tr>
        <w:trPr>
          <w:cantSplit/>
        </w:trPr>
        <w:tc>
          <w:tcPr>
            <w:vAlign w:val="center"/>
            <w:tcW w:w="22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Operations-Dashboard</w:t>
            </w:r>
          </w:p>
        </w:tc>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Implementiert, Ziel teilweise dormant</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Petri/Registration/Recovery/Registry/visuelles Manual Review sind verdrahtet; physische Controller und Scanner bleiben separat zu kommissionieren</w:t>
            </w:r>
          </w:p>
        </w:tc>
      </w:tr>
      <w:tr>
        <w:trPr>
          <w:cantSplit/>
        </w:trPr>
        <w:tc>
          <w:tcPr>
            <w:vAlign w:val="center"/>
            <w:tcW w:w="22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Petri/QR/History</w:t>
            </w:r>
          </w:p>
        </w:tc>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Implementiert, Ziel optional</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Registry/SQLite/Manifest, sichere Bildvorschau und atomare Reviewauswahl vorhanden; kein kommissionierter physischer Petri-Controller am Ziel</w:t>
            </w:r>
          </w:p>
        </w:tc>
      </w:tr>
      <w:tr>
        <w:trPr>
          <w:cantSplit/>
        </w:trPr>
        <w:tc>
          <w:tcPr>
            <w:vAlign w:val="center"/>
            <w:tcW w:w="22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Remote Code Upload</w:t>
            </w:r>
          </w:p>
        </w:tc>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Verboten/retired</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Arbitrary Python exec/upload und unsigned OTA sind fail-closed</w:t>
            </w:r>
          </w:p>
        </w:tc>
      </w:tr>
      <w:tr>
        <w:trPr>
          <w:cantSplit/>
        </w:trPr>
        <w:tc>
          <w:tcPr>
            <w:vAlign w:val="center"/>
            <w:tcW w:w="22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Generisches Jog/Motor-enable</w:t>
            </w:r>
          </w:p>
        </w:tc>
        <w:tc>
          <w:tcPr>
            <w:vAlign w:val="center"/>
            <w:tcW w:w="22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Nicht angeboten</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Kein Rohkoordinaten-, Joint-, Jog- oder Bypass-UI</w:t>
            </w:r>
          </w:p>
        </w:tc>
      </w:tr>
    </w:tbl>
    <w:p>
      <w:pPr>
        <w:spacing w:before="80" w:after="80"/>
      </w:pPr>
    </w:p>
    <w:p>
      <w:pPr>
        <w:pStyle w:val="Heading1"/>
      </w:pPr>
      <w:r>
        <w:t>2  Architektur und Datenflüsse</w:t>
      </w:r>
    </w:p>
    <w:p>
      <w:pPr>
        <w:pStyle w:val="Heading2"/>
      </w:pPr>
      <w:r>
        <w:t>2.1  Prozessarchitektur</w:t>
      </w:r>
    </w:p>
    <w:tbl>
      <w:tblPr>
        <w:tblStyle w:val="TableGrid"/>
        <w:jc w:val="left"/>
        <w:tblLook w:firstColumn="1" w:firstRow="1" w:lastColumn="0" w:lastRow="0" w:noHBand="0" w:noVBand="1" w:val="04A0"/>
        <w:tblW w:w="9360" w:type="dxa"/>
        <w:tblInd w:w="120" w:type="dxa"/>
        <w:tblLayout w:type="fixed"/>
      </w:tblPr>
      <w:tblGrid>
        <w:gridCol w:w="1450"/>
        <w:gridCol w:w="2550"/>
        <w:gridCol w:w="5360"/>
      </w:tblGrid>
      <w:tr>
        <w:trPr>
          <w:tblHeader w:val="true"/>
        </w:trPr>
        <w:tc>
          <w:tcPr>
            <w:shd w:fill="E8EEF5"/>
            <w:vAlign w:val="center"/>
            <w:tcW w:w="1450" w:type="dxa"/>
            <w:tcMar>
              <w:top w:w="80" w:type="dxa"/>
              <w:bottom w:w="80" w:type="dxa"/>
              <w:start w:w="120" w:type="dxa"/>
              <w:end w:w="120" w:type="dxa"/>
            </w:tcMar>
          </w:tcPr>
          <w:p>
            <w:pPr>
              <w:spacing w:before="20" w:after="20"/>
              <w:jc w:val="center"/>
            </w:pPr>
            <w:r>
              <w:rPr>
                <w:rFonts w:ascii="Calibri" w:hAnsi="Calibri" w:eastAsia="Calibri"/>
                <w:b/>
                <w:color w:val="203748"/>
                <w:sz w:val="17"/>
              </w:rPr>
              <w:t>Schicht</w:t>
            </w:r>
          </w:p>
        </w:tc>
        <w:tc>
          <w:tcPr>
            <w:shd w:fill="E8EEF5"/>
            <w:vAlign w:val="center"/>
            <w:tcW w:w="2550" w:type="dxa"/>
            <w:tcMar>
              <w:top w:w="80" w:type="dxa"/>
              <w:bottom w:w="80" w:type="dxa"/>
              <w:start w:w="120" w:type="dxa"/>
              <w:end w:w="120" w:type="dxa"/>
            </w:tcMar>
          </w:tcPr>
          <w:p>
            <w:pPr>
              <w:spacing w:before="20" w:after="20"/>
              <w:jc w:val="center"/>
            </w:pPr>
            <w:r>
              <w:rPr>
                <w:rFonts w:ascii="Calibri" w:hAnsi="Calibri" w:eastAsia="Calibri"/>
                <w:b/>
                <w:color w:val="203748"/>
                <w:sz w:val="17"/>
              </w:rPr>
              <w:t>Komponente</w:t>
            </w:r>
          </w:p>
        </w:tc>
        <w:tc>
          <w:tcPr>
            <w:shd w:fill="E8EEF5"/>
            <w:vAlign w:val="center"/>
            <w:tcW w:w="5360" w:type="dxa"/>
            <w:tcMar>
              <w:top w:w="80" w:type="dxa"/>
              <w:bottom w:w="80" w:type="dxa"/>
              <w:start w:w="120" w:type="dxa"/>
              <w:end w:w="120" w:type="dxa"/>
            </w:tcMar>
          </w:tcPr>
          <w:p>
            <w:pPr>
              <w:spacing w:before="20" w:after="20"/>
              <w:jc w:val="center"/>
            </w:pPr>
            <w:r>
              <w:rPr>
                <w:rFonts w:ascii="Calibri" w:hAnsi="Calibri" w:eastAsia="Calibri"/>
                <w:b/>
                <w:color w:val="203748"/>
                <w:sz w:val="17"/>
              </w:rPr>
              <w:t>Verantwortung</w:t>
            </w:r>
          </w:p>
        </w:tc>
      </w:tr>
      <w:tr>
        <w:trPr>
          <w:cantSplit/>
        </w:trPr>
        <w:tc>
          <w:tcPr>
            <w:vAlign w:val="center"/>
            <w:tcW w:w="14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Bedienung</w:t>
            </w:r>
          </w:p>
        </w:tc>
        <w:tc>
          <w:tcPr>
            <w:vAlign w:val="center"/>
            <w:tcW w:w="25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labcobot-lvgl.service</w:t>
            </w:r>
          </w:p>
        </w:tc>
        <w:tc>
          <w:tcPr>
            <w:vAlign w:val="center"/>
            <w:tcW w:w="53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Offizielles, source-pinned LVGL MicroPython; 1024 x 600 Touch-Kiosk; liest nur loopback Health/Snapshots und sendet eng begrenzte lokale Aktionen</w:t>
            </w:r>
          </w:p>
        </w:tc>
      </w:tr>
      <w:tr>
        <w:trPr>
          <w:cantSplit/>
        </w:trPr>
        <w:tc>
          <w:tcPr>
            <w:vAlign w:val="center"/>
            <w:tcW w:w="14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Gateway</w:t>
            </w:r>
          </w:p>
        </w:tc>
        <w:tc>
          <w:tcPr>
            <w:vAlign w:val="center"/>
            <w:tcW w:w="25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labcobot.service</w:t>
            </w:r>
          </w:p>
        </w:tc>
        <w:tc>
          <w:tcPr>
            <w:vAlign w:val="center"/>
            <w:tcW w:w="53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Headless CPython 3.13; Lifecycle, Kamera, Lite6-Telemetrie, DataHub/OTA-Integration und fail-closed Gates</w:t>
            </w:r>
          </w:p>
        </w:tc>
      </w:tr>
      <w:tr>
        <w:trPr>
          <w:cantSplit/>
        </w:trPr>
        <w:tc>
          <w:tcPr>
            <w:vAlign w:val="center"/>
            <w:tcW w:w="14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Vision</w:t>
            </w:r>
          </w:p>
        </w:tc>
        <w:tc>
          <w:tcPr>
            <w:vAlign w:val="center"/>
            <w:tcW w:w="25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DualCameraRig + MJPEG</w:t>
            </w:r>
          </w:p>
        </w:tc>
        <w:tc>
          <w:tcPr>
            <w:vAlign w:val="center"/>
            <w:tcW w:w="53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Je eine bounded latest-frame Pipeline für tool/workspace; Snapshot und lokale Streams</w:t>
            </w:r>
          </w:p>
        </w:tc>
      </w:tr>
      <w:tr>
        <w:trPr>
          <w:cantSplit/>
        </w:trPr>
        <w:tc>
          <w:tcPr>
            <w:vAlign w:val="center"/>
            <w:tcW w:w="14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Robotik</w:t>
            </w:r>
          </w:p>
        </w:tc>
        <w:tc>
          <w:tcPr>
            <w:vAlign w:val="center"/>
            <w:tcW w:w="25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WorkcellServices</w:t>
            </w:r>
          </w:p>
        </w:tc>
        <w:tc>
          <w:tcPr>
            <w:vAlign w:val="center"/>
            <w:tcW w:w="53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Telemetry, Status, geprüfte Motion-Owner; im Gateway keine Befehle</w:t>
            </w:r>
          </w:p>
        </w:tc>
      </w:tr>
      <w:tr>
        <w:trPr>
          <w:cantSplit/>
        </w:trPr>
        <w:tc>
          <w:tcPr>
            <w:vAlign w:val="center"/>
            <w:tcW w:w="14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Persistenz</w:t>
            </w:r>
          </w:p>
        </w:tc>
        <w:tc>
          <w:tcPr>
            <w:vAlign w:val="center"/>
            <w:tcW w:w="25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SQLite + atomare Artefakte</w:t>
            </w:r>
          </w:p>
        </w:tc>
        <w:tc>
          <w:tcPr>
            <w:vAlign w:val="center"/>
            <w:tcW w:w="53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Outbox, Petri-Historie, OTA-Status und lokale Dataset-Evidenz</w:t>
            </w:r>
          </w:p>
        </w:tc>
      </w:tr>
      <w:tr>
        <w:trPr>
          <w:cantSplit/>
        </w:trPr>
        <w:tc>
          <w:tcPr>
            <w:vAlign w:val="center"/>
            <w:tcW w:w="14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Cloud</w:t>
            </w:r>
          </w:p>
        </w:tc>
        <w:tc>
          <w:tcPr>
            <w:vAlign w:val="center"/>
            <w:tcW w:w="25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Supraworx/DataHub/ShortcutJob</w:t>
            </w:r>
          </w:p>
        </w:tc>
        <w:tc>
          <w:tcPr>
            <w:vAlign w:val="center"/>
            <w:tcW w:w="53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Geräteauthentisierte Zeitreihen, Datasetbilder, signierte OTA-Manifeste und typisierte Remotejobs</w:t>
            </w:r>
          </w:p>
        </w:tc>
      </w:tr>
    </w:tbl>
    <w:p>
      <w:pPr>
        <w:spacing w:before="80" w:after="80"/>
      </w:pPr>
    </w:p>
    <w:p>
      <w:pPr>
        <w:pStyle w:val="Heading2"/>
      </w:pPr>
      <w:r>
        <w:t>2.2  Vertrauens- und Bewegungsgrenzen</w:t>
      </w:r>
    </w:p>
    <w:p>
      <w:pPr>
        <w:pStyle w:val="ListBullet"/>
      </w:pPr>
      <w:r>
        <w:rPr>
          <w:rFonts w:ascii="Calibri" w:hAnsi="Calibri" w:eastAsia="Calibri"/>
          <w:color w:val="17202A"/>
          <w:sz w:val="22"/>
        </w:rPr>
        <w:tab/>
        <w:t>Kameraerkennung erzeugt Beobachtungen, niemals unmittelbar Roboterkoordinaten.</w:t>
      </w:r>
    </w:p>
    <w:p>
      <w:pPr>
        <w:pStyle w:val="ListBullet"/>
      </w:pPr>
      <w:r>
        <w:rPr>
          <w:rFonts w:ascii="Calibri" w:hAnsi="Calibri" w:eastAsia="Calibri"/>
          <w:color w:val="17202A"/>
          <w:sz w:val="22"/>
        </w:rPr>
        <w:tab/>
        <w:t>Tool-Kamera-Ziele benötigen MXID-gebundene Eye-in-Hand-Kalibrierung, synchronisierte Tiefe und Robotpose.</w:t>
      </w:r>
    </w:p>
    <w:p>
      <w:pPr>
        <w:pStyle w:val="ListBullet"/>
      </w:pPr>
      <w:r>
        <w:rPr>
          <w:rFonts w:ascii="Calibri" w:hAnsi="Calibri" w:eastAsia="Calibri"/>
          <w:color w:val="17202A"/>
          <w:sz w:val="22"/>
        </w:rPr>
        <w:tab/>
        <w:t>Remote-Inferenz ist nur ein Bestätigungssignal; lokale Freshness-, Workspace-, IK-, Trajektorien- und STOP-Gates bleiben maßgeblich.</w:t>
      </w:r>
    </w:p>
    <w:p>
      <w:pPr>
        <w:pStyle w:val="ListBullet"/>
      </w:pPr>
      <w:r>
        <w:rPr>
          <w:rFonts w:ascii="Calibri" w:hAnsi="Calibri" w:eastAsia="Calibri"/>
          <w:color w:val="17202A"/>
          <w:sz w:val="22"/>
        </w:rPr>
        <w:tab/>
        <w:t>Jede Livebewegung besitzt genau einen geprüften Motion-Owner. Gateway besitzt keinen.</w:t>
      </w:r>
    </w:p>
    <w:p>
      <w:pPr>
        <w:pStyle w:val="ListBullet"/>
      </w:pPr>
      <w:r>
        <w:rPr>
          <w:rFonts w:ascii="Calibri" w:hAnsi="Calibri" w:eastAsia="Calibri"/>
          <w:color w:val="17202A"/>
          <w:sz w:val="22"/>
        </w:rPr>
        <w:tab/>
        <w:t>SOFTWARE STOP ist ein zusätzlicher Stoppkanal; der physische Not-Halt bleibt jederzeit erreichbar.</w:t>
      </w:r>
    </w:p>
    <w:p>
      <w:pPr>
        <w:pStyle w:val="Heading2"/>
      </w:pPr>
      <w:r>
        <w:t>2.3  Zustandsmodell</w:t>
      </w:r>
    </w:p>
    <w:p>
      <w:pPr>
        <w:spacing w:before="0" w:after="120"/>
      </w:pPr>
      <w:r>
        <w:rPr>
          <w:rFonts w:ascii="Calibri" w:hAnsi="Calibri" w:eastAsia="Calibri"/>
          <w:b w:val="0"/>
          <w:i w:val="0"/>
          <w:color w:val="17202A"/>
          <w:sz w:val="22"/>
        </w:rPr>
        <w:t>Der öffentliche Runtime-Snapshot verwendet schema_version 2 und liefert unter anderem deployment_mode, workers, cameras, datahub, registry, motion, xarm, ota, capture_run, capture_export, operations, capabilities, system und problems. Die UI behandelt unbekannte, fehlende oder veraltete Felder als nicht verfügbar und sperrt Aktionen.</w:t>
      </w:r>
    </w:p>
    <w:p>
      <w:pPr>
        <w:pStyle w:val="Heading1"/>
      </w:pPr>
      <w:r>
        <w:t>3  Hardware, Stückliste und Montage</w:t>
      </w:r>
    </w:p>
    <w:p>
      <w:pPr>
        <w:pStyle w:val="Heading2"/>
      </w:pPr>
      <w:r>
        <w:t>3.1  Kernstückliste</w:t>
      </w:r>
    </w:p>
    <w:tbl>
      <w:tblPr>
        <w:tblStyle w:val="TableGrid"/>
        <w:jc w:val="left"/>
        <w:tblLook w:firstColumn="1" w:firstRow="1" w:lastColumn="0" w:lastRow="0" w:noHBand="0" w:noVBand="1" w:val="04A0"/>
        <w:tblW w:w="9360" w:type="dxa"/>
        <w:tblInd w:w="120" w:type="dxa"/>
        <w:tblLayout w:type="fixed"/>
      </w:tblPr>
      <w:tblGrid>
        <w:gridCol w:w="650"/>
        <w:gridCol w:w="2700"/>
        <w:gridCol w:w="6010"/>
      </w:tblGrid>
      <w:tr>
        <w:trPr>
          <w:tblHeader w:val="true"/>
        </w:trPr>
        <w:tc>
          <w:tcPr>
            <w:shd w:fill="E8EEF5"/>
            <w:vAlign w:val="center"/>
            <w:tcW w:w="650" w:type="dxa"/>
            <w:tcMar>
              <w:top w:w="80" w:type="dxa"/>
              <w:bottom w:w="80" w:type="dxa"/>
              <w:start w:w="120" w:type="dxa"/>
              <w:end w:w="120" w:type="dxa"/>
            </w:tcMar>
          </w:tcPr>
          <w:p>
            <w:pPr>
              <w:spacing w:before="20" w:after="20"/>
              <w:jc w:val="center"/>
            </w:pPr>
            <w:r>
              <w:rPr>
                <w:rFonts w:ascii="Calibri" w:hAnsi="Calibri" w:eastAsia="Calibri"/>
                <w:b/>
                <w:color w:val="203748"/>
                <w:sz w:val="17"/>
              </w:rPr>
              <w:t>Pos.</w:t>
            </w:r>
          </w:p>
        </w:tc>
        <w:tc>
          <w:tcPr>
            <w:shd w:fill="E8EEF5"/>
            <w:vAlign w:val="center"/>
            <w:tcW w:w="2700" w:type="dxa"/>
            <w:tcMar>
              <w:top w:w="80" w:type="dxa"/>
              <w:bottom w:w="80" w:type="dxa"/>
              <w:start w:w="120" w:type="dxa"/>
              <w:end w:w="120" w:type="dxa"/>
            </w:tcMar>
          </w:tcPr>
          <w:p>
            <w:pPr>
              <w:spacing w:before="20" w:after="20"/>
              <w:jc w:val="center"/>
            </w:pPr>
            <w:r>
              <w:rPr>
                <w:rFonts w:ascii="Calibri" w:hAnsi="Calibri" w:eastAsia="Calibri"/>
                <w:b/>
                <w:color w:val="203748"/>
                <w:sz w:val="17"/>
              </w:rPr>
              <w:t>Komponente</w:t>
            </w:r>
          </w:p>
        </w:tc>
        <w:tc>
          <w:tcPr>
            <w:shd w:fill="E8EEF5"/>
            <w:vAlign w:val="center"/>
            <w:tcW w:w="6010" w:type="dxa"/>
            <w:tcMar>
              <w:top w:w="80" w:type="dxa"/>
              <w:bottom w:w="80" w:type="dxa"/>
              <w:start w:w="120" w:type="dxa"/>
              <w:end w:w="120" w:type="dxa"/>
            </w:tcMar>
          </w:tcPr>
          <w:p>
            <w:pPr>
              <w:spacing w:before="20" w:after="20"/>
              <w:jc w:val="center"/>
            </w:pPr>
            <w:r>
              <w:rPr>
                <w:rFonts w:ascii="Calibri" w:hAnsi="Calibri" w:eastAsia="Calibri"/>
                <w:b/>
                <w:color w:val="203748"/>
                <w:sz w:val="17"/>
              </w:rPr>
              <w:t>Technische Rolle / Nachweis</w:t>
            </w:r>
          </w:p>
        </w:tc>
      </w:tr>
      <w:tr>
        <w:trPr>
          <w:cantSplit/>
        </w:trPr>
        <w:tc>
          <w:tcPr>
            <w:vAlign w:val="center"/>
            <w:tcW w:w="6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1</w:t>
            </w:r>
          </w:p>
        </w:tc>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xArm Lite 6 (LI1000)</w:t>
            </w:r>
          </w:p>
        </w:tc>
        <w:tc>
          <w:tcPr>
            <w:vAlign w:val="center"/>
            <w:tcW w:w="60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6 DOF, 440 mm Reichweite, 600 g Payload, +/-1 mm Wiederholgenauigkeit, 9 kg Arm, 24 V DC, max. 350 W; Ethernet/private TCP</w:t>
            </w:r>
          </w:p>
        </w:tc>
      </w:tr>
      <w:tr>
        <w:trPr>
          <w:cantSplit/>
        </w:trPr>
        <w:tc>
          <w:tcPr>
            <w:vAlign w:val="center"/>
            <w:tcW w:w="6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2</w:t>
            </w:r>
          </w:p>
        </w:tc>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Lite6 Versorgung + E-Stop</w:t>
            </w:r>
          </w:p>
        </w:tc>
        <w:tc>
          <w:tcPr>
            <w:vAlign w:val="center"/>
            <w:tcW w:w="60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Hersteller-Power-Adapter, Emergency-Stop-Taster, Ethernetkabel; Teil des Herstellerpakets</w:t>
            </w:r>
          </w:p>
        </w:tc>
      </w:tr>
      <w:tr>
        <w:trPr>
          <w:cantSplit/>
        </w:trPr>
        <w:tc>
          <w:tcPr>
            <w:vAlign w:val="center"/>
            <w:tcW w:w="6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3</w:t>
            </w:r>
          </w:p>
        </w:tc>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2 x Luxonis OAK-D Lite</w:t>
            </w:r>
          </w:p>
        </w:tc>
        <w:tc>
          <w:tcPr>
            <w:vAlign w:val="center"/>
            <w:tcW w:w="60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Je 13,1 MP RGB IMX214 + 2 x 0,31 MP Global-Shutter OV7251, Myriad X, USB-C/USB 3.1, 5 V, typisch 4-6 W</w:t>
            </w:r>
          </w:p>
        </w:tc>
      </w:tr>
      <w:tr>
        <w:trPr>
          <w:cantSplit/>
        </w:trPr>
        <w:tc>
          <w:tcPr>
            <w:vAlign w:val="center"/>
            <w:tcW w:w="6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4</w:t>
            </w:r>
          </w:p>
        </w:tc>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Raspberry Pi Controller</w:t>
            </w:r>
          </w:p>
        </w:tc>
        <w:tc>
          <w:tcPr>
            <w:vAlign w:val="center"/>
            <w:tcW w:w="60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64-bit Debian, Python 3.13.5, USB/DepthAI, dedizierter Robot-Ethernetpfad, systemd</w:t>
            </w:r>
          </w:p>
        </w:tc>
      </w:tr>
      <w:tr>
        <w:trPr>
          <w:cantSplit/>
        </w:trPr>
        <w:tc>
          <w:tcPr>
            <w:vAlign w:val="center"/>
            <w:tcW w:w="6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5</w:t>
            </w:r>
          </w:p>
        </w:tc>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Touchdisplay</w:t>
            </w:r>
          </w:p>
        </w:tc>
        <w:tc>
          <w:tcPr>
            <w:vAlign w:val="center"/>
            <w:tcW w:w="60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1024 x 600, QDTECH Touch, HDMI-A-2; exklusiver LVGL-Kiosk</w:t>
            </w:r>
          </w:p>
        </w:tc>
      </w:tr>
      <w:tr>
        <w:trPr>
          <w:cantSplit/>
        </w:trPr>
        <w:tc>
          <w:tcPr>
            <w:vAlign w:val="center"/>
            <w:tcW w:w="6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6</w:t>
            </w:r>
          </w:p>
        </w:tc>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Tool-/Kamerahalter, Beleuchtung, Tray</w:t>
            </w:r>
          </w:p>
        </w:tc>
        <w:tc>
          <w:tcPr>
            <w:vAlign w:val="center"/>
            <w:tcW w:w="60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Standortspezifisch; genaue Geometrie, Befestigung, Sichtfeld und CE-Nachweise in technischer Akte</w:t>
            </w:r>
          </w:p>
        </w:tc>
      </w:tr>
      <w:tr>
        <w:trPr>
          <w:cantSplit/>
        </w:trPr>
        <w:tc>
          <w:tcPr>
            <w:vAlign w:val="center"/>
            <w:tcW w:w="6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7</w:t>
            </w:r>
          </w:p>
        </w:tc>
        <w:tc>
          <w:tcPr>
            <w:vAlign w:val="center"/>
            <w:tcW w:w="27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Schutzsystem</w:t>
            </w:r>
          </w:p>
        </w:tc>
        <w:tc>
          <w:tcPr>
            <w:vAlign w:val="center"/>
            <w:tcW w:w="60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Physischer E-Stop, ggf. Guarding/Schutztür/Scanner gemäß Risikobeurteilung; Software ist kein Ersatz</w:t>
            </w:r>
          </w:p>
        </w:tc>
      </w:tr>
    </w:tbl>
    <w:p>
      <w:pPr>
        <w:spacing w:before="80" w:after="80"/>
      </w:pPr>
    </w:p>
    <w:p>
      <w:pPr>
        <w:pStyle w:val="Heading2"/>
      </w:pPr>
      <w:r>
        <w:t>3.2  Lite6 - Herstellergrenzen</w:t>
      </w:r>
    </w:p>
    <w:tbl>
      <w:tblPr>
        <w:tblStyle w:val="TableGrid"/>
        <w:jc w:val="left"/>
        <w:tblLook w:firstColumn="1" w:firstRow="1" w:lastColumn="0" w:lastRow="0" w:noHBand="0" w:noVBand="1" w:val="04A0"/>
        <w:tblW w:w="9360" w:type="dxa"/>
        <w:tblInd w:w="120" w:type="dxa"/>
        <w:tblLayout w:type="fixed"/>
      </w:tblPr>
      <w:tblGrid>
        <w:gridCol w:w="2300"/>
        <w:gridCol w:w="7060"/>
      </w:tblGrid>
      <w:tr>
        <w:trPr>
          <w:tblHeader w:val="true"/>
        </w:trPr>
        <w:tc>
          <w:tcPr>
            <w:shd w:fill="E8EEF5"/>
            <w:vAlign w:val="center"/>
            <w:tcW w:w="2300" w:type="dxa"/>
            <w:tcMar>
              <w:top w:w="80" w:type="dxa"/>
              <w:bottom w:w="80" w:type="dxa"/>
              <w:start w:w="120" w:type="dxa"/>
              <w:end w:w="120" w:type="dxa"/>
            </w:tcMar>
          </w:tcPr>
          <w:p>
            <w:pPr>
              <w:spacing w:before="20" w:after="20"/>
              <w:jc w:val="center"/>
            </w:pPr>
            <w:r>
              <w:rPr>
                <w:rFonts w:ascii="Calibri" w:hAnsi="Calibri" w:eastAsia="Calibri"/>
                <w:b/>
                <w:color w:val="203748"/>
                <w:sz w:val="18"/>
              </w:rPr>
              <w:t>Kennwert</w:t>
            </w:r>
          </w:p>
        </w:tc>
        <w:tc>
          <w:tcPr>
            <w:shd w:fill="E8EEF5"/>
            <w:vAlign w:val="center"/>
            <w:tcW w:w="7060" w:type="dxa"/>
            <w:tcMar>
              <w:top w:w="80" w:type="dxa"/>
              <w:bottom w:w="80" w:type="dxa"/>
              <w:start w:w="120" w:type="dxa"/>
              <w:end w:w="120" w:type="dxa"/>
            </w:tcMar>
          </w:tcPr>
          <w:p>
            <w:pPr>
              <w:spacing w:before="20" w:after="20"/>
              <w:jc w:val="center"/>
            </w:pPr>
            <w:r>
              <w:rPr>
                <w:rFonts w:ascii="Calibri" w:hAnsi="Calibri" w:eastAsia="Calibri"/>
                <w:b/>
                <w:color w:val="203748"/>
                <w:sz w:val="18"/>
              </w:rPr>
              <w:t>Herstellerwert</w:t>
            </w:r>
          </w:p>
        </w:tc>
      </w:tr>
      <w:tr>
        <w:trPr>
          <w:cantSplit/>
        </w:trPr>
        <w:tc>
          <w:tcPr>
            <w:vAlign w:val="center"/>
            <w:tcW w:w="23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Gelenkbereiche</w:t>
            </w:r>
          </w:p>
        </w:tc>
        <w:tc>
          <w:tcPr>
            <w:vAlign w:val="center"/>
            <w:tcW w:w="70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J1 +/-360 deg; J2 +/-150 deg; J3 -3,5..300 deg; J4 +/-360 deg; J5 +/-124 deg; J6 +/-360 deg</w:t>
            </w:r>
          </w:p>
        </w:tc>
      </w:tr>
      <w:tr>
        <w:trPr>
          <w:cantSplit/>
        </w:trPr>
        <w:tc>
          <w:tcPr>
            <w:vAlign w:val="center"/>
            <w:tcW w:w="23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Kartesischer Bereich</w:t>
            </w:r>
          </w:p>
        </w:tc>
        <w:tc>
          <w:tcPr>
            <w:vAlign w:val="center"/>
            <w:tcW w:w="70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X/Y +/-440 mm; Z -165..683,5 mm; Orientierung +/-180 deg</w:t>
            </w:r>
          </w:p>
        </w:tc>
      </w:tr>
      <w:tr>
        <w:trPr>
          <w:cantSplit/>
        </w:trPr>
        <w:tc>
          <w:tcPr>
            <w:vAlign w:val="center"/>
            <w:tcW w:w="23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Geschwindigkeit</w:t>
            </w:r>
          </w:p>
        </w:tc>
        <w:tc>
          <w:tcPr>
            <w:vAlign w:val="center"/>
            <w:tcW w:w="70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Endeffektor max. 500 mm/s; Hersteller nennt Teaching 250 mm/s und Automatik 500 mm/s</w:t>
            </w:r>
          </w:p>
        </w:tc>
      </w:tr>
      <w:tr>
        <w:trPr>
          <w:cantSplit/>
        </w:trPr>
        <w:tc>
          <w:tcPr>
            <w:vAlign w:val="center"/>
            <w:tcW w:w="23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Einsatzumgebung</w:t>
            </w:r>
          </w:p>
        </w:tc>
        <w:tc>
          <w:tcPr>
            <w:vAlign w:val="center"/>
            <w:tcW w:w="70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0..50 deg C; 25-85 % rF, nicht kondensierend; &lt;2000 m; innen; ohne korrosive/entzündliche Medien, Ölnebel, Salz, Staub/Metallpulver, Schock/Vibration</w:t>
            </w:r>
          </w:p>
        </w:tc>
      </w:tr>
      <w:tr>
        <w:trPr>
          <w:cantSplit/>
        </w:trPr>
        <w:tc>
          <w:tcPr>
            <w:vAlign w:val="center"/>
            <w:tcW w:w="23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Montage</w:t>
            </w:r>
          </w:p>
        </w:tc>
        <w:tc>
          <w:tcPr>
            <w:vAlign w:val="center"/>
            <w:tcW w:w="70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Stabile, stoßfeste Oberfläche; Hersteller fordert Auslegung auf mindestens 10 x Basisgelenk-Torsion und 5 x Armgewicht; vier Basisbohrungen, empfohlene M5-Bolzen mit 20 Nm</w:t>
            </w:r>
          </w:p>
        </w:tc>
      </w:tr>
      <w:tr>
        <w:trPr>
          <w:cantSplit/>
        </w:trPr>
        <w:tc>
          <w:tcPr>
            <w:vAlign w:val="center"/>
            <w:tcW w:w="23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Flansch</w:t>
            </w:r>
          </w:p>
        </w:tc>
        <w:tc>
          <w:tcPr>
            <w:vAlign w:val="center"/>
            <w:tcW w:w="70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DIN ISO 9409-1-A50/63; Werkzeugorientierung dokumentieren, falls keine Positionierbohrung</w:t>
            </w:r>
          </w:p>
        </w:tc>
      </w:tr>
    </w:tbl>
    <w:p>
      <w:pPr>
        <w:spacing w:before="80" w:after="80"/>
      </w:pPr>
    </w:p>
    <w:p>
      <w:pPr>
        <w:pStyle w:val="CalloutWarning"/>
      </w:pPr>
      <w:r>
        <w:rPr>
          <w:rFonts w:ascii="Calibri" w:hAnsi="Calibri" w:eastAsia="Calibri"/>
          <w:b/>
          <w:color w:val="7A5A00"/>
          <w:sz w:val="21"/>
        </w:rPr>
        <w:t xml:space="preserve">Wichtig: </w:t>
      </w:r>
      <w:r>
        <w:rPr>
          <w:rFonts w:ascii="Calibri" w:hAnsi="Calibri" w:eastAsia="Calibri"/>
          <w:color w:val="7A5A00"/>
          <w:sz w:val="21"/>
        </w:rPr>
        <w:t>Herstellergrenzen sind keine AINA-Prozesswerte. Die standortspezifischen TCP-, Joint-, Geschwindigkeits- und Workspace-Limits müssen deutlich enger und unabhängig geprüft werden.</w:t>
      </w:r>
    </w:p>
    <w:p>
      <w:pPr>
        <w:pStyle w:val="Heading2"/>
      </w:pPr>
      <w:r>
        <w:t>3.3  OAK-D Lite</w:t>
      </w:r>
    </w:p>
    <w:p>
      <w:pPr>
        <w:pStyle w:val="ListBullet"/>
      </w:pPr>
      <w:r>
        <w:rPr>
          <w:rFonts w:ascii="Calibri" w:hAnsi="Calibri" w:eastAsia="Calibri"/>
          <w:color w:val="17202A"/>
          <w:sz w:val="22"/>
        </w:rPr>
        <w:tab/>
        <w:t>Abmessungen ca. 91 x 28 x 17,5 mm; 1/4-20-Stativgewinde und VESA 75 mm/M4.</w:t>
      </w:r>
    </w:p>
    <w:p>
      <w:pPr>
        <w:pStyle w:val="ListBullet"/>
      </w:pPr>
      <w:r>
        <w:rPr>
          <w:rFonts w:ascii="Calibri" w:hAnsi="Calibri" w:eastAsia="Calibri"/>
          <w:color w:val="17202A"/>
          <w:sz w:val="22"/>
        </w:rPr>
        <w:tab/>
        <w:t>RGB: Sony IMX214, 4208 x 3120 @ 60 fps, elektronischer Rolling Shutter, DFOV 81,3 deg.</w:t>
      </w:r>
    </w:p>
    <w:p>
      <w:pPr>
        <w:pStyle w:val="ListBullet"/>
      </w:pPr>
      <w:r>
        <w:rPr>
          <w:rFonts w:ascii="Calibri" w:hAnsi="Calibri" w:eastAsia="Calibri"/>
          <w:color w:val="17202A"/>
          <w:sz w:val="22"/>
        </w:rPr>
        <w:tab/>
        <w:t>Stereo: zwei OmniVision OV7251, 640 x 480 @ 120 fps, Global Shutter, DFOV 85,6 deg.</w:t>
      </w:r>
    </w:p>
    <w:p>
      <w:pPr>
        <w:pStyle w:val="ListBullet"/>
      </w:pPr>
      <w:r>
        <w:rPr>
          <w:rFonts w:ascii="Calibri" w:hAnsi="Calibri" w:eastAsia="Calibri"/>
          <w:color w:val="17202A"/>
          <w:sz w:val="22"/>
        </w:rPr>
        <w:tab/>
        <w:t>USB-Eingang 3,5-5,5 V absolut; empfohlen 5-5,25 V; maximaler Eingangsstrom 1,5 A. Bei stromschwachen Hosts ist ein Y-Adapter/separate Versorgung vorgesehen.</w:t>
      </w:r>
    </w:p>
    <w:p>
      <w:pPr>
        <w:pStyle w:val="ListBullet"/>
      </w:pPr>
      <w:r>
        <w:rPr>
          <w:rFonts w:ascii="Calibri" w:hAnsi="Calibri" w:eastAsia="Calibri"/>
          <w:color w:val="17202A"/>
          <w:sz w:val="22"/>
        </w:rPr>
        <w:tab/>
        <w:t>EU-Konformitätserklärung umfasst EMC 2014/30/EU und RoHS 2011/65/EU für OAK-D-Lite; die Integration als Gesamtmaschine muss separat bewertet werden.</w:t>
      </w:r>
    </w:p>
    <w:p>
      <w:pPr>
        <w:pStyle w:val="Heading1"/>
      </w:pPr>
      <w:r>
        <w:t>4  Netzwerk und Kommunikationswege</w:t>
      </w:r>
    </w:p>
    <w:p>
      <w:pPr>
        <w:pStyle w:val="Heading2"/>
      </w:pPr>
      <w:r>
        <w:t>4.1  Segmentierung</w:t>
      </w:r>
    </w:p>
    <w:p>
      <w:pPr>
        <w:pStyle w:val="ListBullet"/>
      </w:pPr>
      <w:r>
        <w:rPr>
          <w:rFonts w:ascii="Calibri" w:hAnsi="Calibri" w:eastAsia="Calibri"/>
          <w:color w:val="17202A"/>
          <w:sz w:val="22"/>
        </w:rPr>
        <w:tab/>
        <w:t>Robotik: dedizierter Ethernetadapter zum Lite6, ohne Default Route, DNS oder Forwarding. Herstellersegment standardmäßig 192.168.1.0/24; exakte Geräte-IP am Label prüfen.</w:t>
      </w:r>
    </w:p>
    <w:p>
      <w:pPr>
        <w:pStyle w:val="ListBullet"/>
      </w:pPr>
      <w:r>
        <w:rPr>
          <w:rFonts w:ascii="Calibri" w:hAnsi="Calibri" w:eastAsia="Calibri"/>
          <w:color w:val="17202A"/>
          <w:sz w:val="22"/>
        </w:rPr>
        <w:tab/>
        <w:t>Management/Cloud: separates LAN/WLAN des Pi für HTTPS zu Supraworx/DataHub und signierten Downloadhost.</w:t>
      </w:r>
    </w:p>
    <w:p>
      <w:pPr>
        <w:pStyle w:val="ListBullet"/>
      </w:pPr>
      <w:r>
        <w:rPr>
          <w:rFonts w:ascii="Calibri" w:hAnsi="Calibri" w:eastAsia="Calibri"/>
          <w:color w:val="17202A"/>
          <w:sz w:val="22"/>
        </w:rPr>
        <w:tab/>
        <w:t>Lokale UI: LVGL spricht ausschließlich zu 127.0.0.1:8765. Steuerpfade werden nicht ins LAN veröffentlicht.</w:t>
      </w:r>
    </w:p>
    <w:p>
      <w:pPr>
        <w:pStyle w:val="ListBullet"/>
      </w:pPr>
      <w:r>
        <w:rPr>
          <w:rFonts w:ascii="Calibri" w:hAnsi="Calibri" w:eastAsia="Calibri"/>
          <w:color w:val="17202A"/>
          <w:sz w:val="22"/>
        </w:rPr>
        <w:tab/>
        <w:t>Kameras: USB/DepthAI, keine kameraseitige Internetabhängigkeit.</w:t>
      </w:r>
    </w:p>
    <w:p>
      <w:pPr>
        <w:pStyle w:val="Code"/>
      </w:pPr>
      <w:r>
        <w:rPr>
          <w:rFonts w:ascii="Courier New" w:hAnsi="Courier New" w:eastAsia="Courier New"/>
          <w:color w:val="203748"/>
          <w:sz w:val="17"/>
        </w:rPr>
        <w:t>sudo /usr/local/lib/labcobot/configure-network.sh \</w:t>
        <w:br/>
        <w:t xml:space="preserve">  --interface &lt;robot-interface&gt; \</w:t>
        <w:br/>
        <w:t xml:space="preserve">  --address &lt;private-pi-address&gt;/24 \</w:t>
        <w:br/>
        <w:t xml:space="preserve">  --robot-ip &lt;lite6-address&gt;</w:t>
      </w:r>
    </w:p>
    <w:p>
      <w:pPr>
        <w:pStyle w:val="Heading2"/>
      </w:pPr>
      <w:r>
        <w:t>4.2  Lokale Ports und Pfade</w:t>
      </w:r>
    </w:p>
    <w:tbl>
      <w:tblPr>
        <w:tblStyle w:val="TableGrid"/>
        <w:jc w:val="left"/>
        <w:tblLook w:firstColumn="1" w:firstRow="1" w:lastColumn="0" w:lastRow="0" w:noHBand="0" w:noVBand="1" w:val="04A0"/>
        <w:tblW w:w="9360" w:type="dxa"/>
        <w:tblInd w:w="120" w:type="dxa"/>
        <w:tblLayout w:type="fixed"/>
      </w:tblPr>
      <w:tblGrid>
        <w:gridCol w:w="3150"/>
        <w:gridCol w:w="1150"/>
        <w:gridCol w:w="5060"/>
      </w:tblGrid>
      <w:tr>
        <w:trPr>
          <w:tblHeader w:val="true"/>
        </w:trPr>
        <w:tc>
          <w:tcPr>
            <w:shd w:fill="E8EEF5"/>
            <w:vAlign w:val="center"/>
            <w:tcW w:w="3150" w:type="dxa"/>
            <w:tcMar>
              <w:top w:w="80" w:type="dxa"/>
              <w:bottom w:w="80" w:type="dxa"/>
              <w:start w:w="120" w:type="dxa"/>
              <w:end w:w="120" w:type="dxa"/>
            </w:tcMar>
          </w:tcPr>
          <w:p>
            <w:pPr>
              <w:spacing w:before="20" w:after="20"/>
              <w:jc w:val="center"/>
            </w:pPr>
            <w:r>
              <w:rPr>
                <w:rFonts w:ascii="Calibri" w:hAnsi="Calibri" w:eastAsia="Calibri"/>
                <w:b/>
                <w:color w:val="203748"/>
                <w:sz w:val="17"/>
              </w:rPr>
              <w:t>Pfad</w:t>
            </w:r>
          </w:p>
        </w:tc>
        <w:tc>
          <w:tcPr>
            <w:shd w:fill="E8EEF5"/>
            <w:vAlign w:val="center"/>
            <w:tcW w:w="1150" w:type="dxa"/>
            <w:tcMar>
              <w:top w:w="80" w:type="dxa"/>
              <w:bottom w:w="80" w:type="dxa"/>
              <w:start w:w="120" w:type="dxa"/>
              <w:end w:w="120" w:type="dxa"/>
            </w:tcMar>
          </w:tcPr>
          <w:p>
            <w:pPr>
              <w:spacing w:before="20" w:after="20"/>
              <w:jc w:val="center"/>
            </w:pPr>
            <w:r>
              <w:rPr>
                <w:rFonts w:ascii="Calibri" w:hAnsi="Calibri" w:eastAsia="Calibri"/>
                <w:b/>
                <w:color w:val="203748"/>
                <w:sz w:val="17"/>
              </w:rPr>
              <w:t>Methode</w:t>
            </w:r>
          </w:p>
        </w:tc>
        <w:tc>
          <w:tcPr>
            <w:shd w:fill="E8EEF5"/>
            <w:vAlign w:val="center"/>
            <w:tcW w:w="5060" w:type="dxa"/>
            <w:tcMar>
              <w:top w:w="80" w:type="dxa"/>
              <w:bottom w:w="80" w:type="dxa"/>
              <w:start w:w="120" w:type="dxa"/>
              <w:end w:w="120" w:type="dxa"/>
            </w:tcMar>
          </w:tcPr>
          <w:p>
            <w:pPr>
              <w:spacing w:before="20" w:after="20"/>
              <w:jc w:val="center"/>
            </w:pPr>
            <w:r>
              <w:rPr>
                <w:rFonts w:ascii="Calibri" w:hAnsi="Calibri" w:eastAsia="Calibri"/>
                <w:b/>
                <w:color w:val="203748"/>
                <w:sz w:val="17"/>
              </w:rPr>
              <w:t>Verwendung</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/healthz</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GET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Secret-freier Gateway-/Systemstatus für LVGL und Diagnose</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/tool.mjpg</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GET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Tool-Kamerastream; Python-Dienst bindet ausschließlich Loopback</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/workspace.mjpg</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GET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Workspace-Kamerastream</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/api/cameras/{role}/snapshot.jpg</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GET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Bounded Baseline-JPEG für exakten LVGL-Clientheader</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/api/ota/check</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POST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Manuelle signierte OTA-Prüfung</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/api/capture-run/start|stop</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POST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Zwei-Schritt-Start/Stop des kommissionierten Workcell-Laufs</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/api/safety/stop</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POST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Lokaler Software-STOP</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/api/motion/search/arm</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POST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Kurzlebige Zwei-Schritt-Search-Autorisierung</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/api/safety/configure</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POST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Anwendung eines installierten, gepinnten Lite6-Sicherheitsprofils</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/api/petri/start</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POST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Zwei-Schritt-Start eines separat kommissionierten Petri-Controllers</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/api/registration/verify</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POST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Read-only Prüfung der Gerätebereitschaft; keine Registrierung/Mutation</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/api/recovery/home</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POST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Zwei-Schritt-Recovery über separat kommissionierten Rückweg</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/api/petri/review</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POST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Zwei-Schritt-Auswahl eines Backend-Reviewkandidaten</w:t>
            </w:r>
          </w:p>
        </w:tc>
      </w:tr>
      <w:tr>
        <w:trPr>
          <w:cantSplit/>
        </w:trPr>
        <w:tc>
          <w:tcPr>
            <w:vAlign w:val="center"/>
            <w:tcW w:w="31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/api/petri/review.jpg</w:t>
            </w:r>
          </w:p>
        </w:tc>
        <w:tc>
          <w:tcPr>
            <w:vAlign w:val="center"/>
            <w:tcW w:w="11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GET</w:t>
            </w:r>
          </w:p>
        </w:tc>
        <w:tc>
          <w:tcPr>
            <w:vAlign w:val="center"/>
            <w:tcW w:w="50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Challenge-gebundene, begrenzte JPEG-Reviewvorschau</w:t>
            </w:r>
          </w:p>
        </w:tc>
      </w:tr>
    </w:tbl>
    <w:p>
      <w:pPr>
        <w:spacing w:before="80" w:after="80"/>
      </w:pPr>
    </w:p>
    <w:p>
      <w:pPr>
        <w:pStyle w:val="CalloutNote"/>
      </w:pPr>
      <w:r>
        <w:rPr>
          <w:rFonts w:ascii="Calibri" w:hAnsi="Calibri" w:eastAsia="Calibri"/>
          <w:b/>
          <w:color w:val="1F4D78"/>
          <w:sz w:val="21"/>
        </w:rPr>
        <w:t xml:space="preserve">API-Regel: </w:t>
      </w:r>
      <w:r>
        <w:rPr>
          <w:rFonts w:ascii="Calibri" w:hAnsi="Calibri" w:eastAsia="Calibri"/>
          <w:color w:val="1F4D78"/>
          <w:sz w:val="21"/>
        </w:rPr>
        <w:t>Action-Endpunkte akzeptieren nur Loopback, leere/eng begrenzte Bodies und exakte X-LabCobot-Client/X-LabCobot-Action-Header. Sie sind kein allgemeines REST-Steuerinterface.</w:t>
      </w:r>
    </w:p>
    <w:p>
      <w:pPr>
        <w:pStyle w:val="Heading1"/>
      </w:pPr>
      <w:r>
        <w:t>5  Software, Dienste und Autostart</w:t>
      </w:r>
    </w:p>
    <w:p>
      <w:pPr>
        <w:pStyle w:val="Heading2"/>
      </w:pPr>
      <w:r>
        <w:t>5.1  Laufzeit</w:t>
      </w:r>
    </w:p>
    <w:tbl>
      <w:tblPr>
        <w:tblStyle w:val="TableGrid"/>
        <w:jc w:val="left"/>
        <w:tblLook w:firstColumn="1" w:firstRow="1" w:lastColumn="0" w:lastRow="0" w:noHBand="0" w:noVBand="1" w:val="04A0"/>
        <w:tblW w:w="9360" w:type="dxa"/>
        <w:tblInd w:w="120" w:type="dxa"/>
        <w:tblLayout w:type="fixed"/>
      </w:tblPr>
      <w:tblGrid>
        <w:gridCol w:w="2100"/>
        <w:gridCol w:w="3300"/>
        <w:gridCol w:w="3960"/>
      </w:tblGrid>
      <w:tr>
        <w:trPr>
          <w:tblHeader w:val="true"/>
        </w:trPr>
        <w:tc>
          <w:tcPr>
            <w:shd w:fill="E8EEF5"/>
            <w:vAlign w:val="center"/>
            <w:tcW w:w="2100" w:type="dxa"/>
            <w:tcMar>
              <w:top w:w="80" w:type="dxa"/>
              <w:bottom w:w="80" w:type="dxa"/>
              <w:start w:w="120" w:type="dxa"/>
              <w:end w:w="120" w:type="dxa"/>
            </w:tcMar>
          </w:tcPr>
          <w:p>
            <w:pPr>
              <w:spacing w:before="20" w:after="20"/>
              <w:jc w:val="center"/>
            </w:pPr>
            <w:r>
              <w:rPr>
                <w:rFonts w:ascii="Calibri" w:hAnsi="Calibri" w:eastAsia="Calibri"/>
                <w:b/>
                <w:color w:val="203748"/>
                <w:sz w:val="17"/>
              </w:rPr>
              <w:t>Einheit</w:t>
            </w:r>
          </w:p>
        </w:tc>
        <w:tc>
          <w:tcPr>
            <w:shd w:fill="E8EEF5"/>
            <w:vAlign w:val="center"/>
            <w:tcW w:w="3300" w:type="dxa"/>
            <w:tcMar>
              <w:top w:w="80" w:type="dxa"/>
              <w:bottom w:w="80" w:type="dxa"/>
              <w:start w:w="120" w:type="dxa"/>
              <w:end w:w="120" w:type="dxa"/>
            </w:tcMar>
          </w:tcPr>
          <w:p>
            <w:pPr>
              <w:spacing w:before="20" w:after="20"/>
              <w:jc w:val="center"/>
            </w:pPr>
            <w:r>
              <w:rPr>
                <w:rFonts w:ascii="Calibri" w:hAnsi="Calibri" w:eastAsia="Calibri"/>
                <w:b/>
                <w:color w:val="203748"/>
                <w:sz w:val="17"/>
              </w:rPr>
              <w:t>Start</w:t>
            </w:r>
          </w:p>
        </w:tc>
        <w:tc>
          <w:tcPr>
            <w:shd w:fill="E8EEF5"/>
            <w:vAlign w:val="center"/>
            <w:tcW w:w="3960" w:type="dxa"/>
            <w:tcMar>
              <w:top w:w="80" w:type="dxa"/>
              <w:bottom w:w="80" w:type="dxa"/>
              <w:start w:w="120" w:type="dxa"/>
              <w:end w:w="120" w:type="dxa"/>
            </w:tcMar>
          </w:tcPr>
          <w:p>
            <w:pPr>
              <w:spacing w:before="20" w:after="20"/>
              <w:jc w:val="center"/>
            </w:pPr>
            <w:r>
              <w:rPr>
                <w:rFonts w:ascii="Calibri" w:hAnsi="Calibri" w:eastAsia="Calibri"/>
                <w:b/>
                <w:color w:val="203748"/>
                <w:sz w:val="17"/>
              </w:rPr>
              <w:t>Härtung / Lebenszyklus</w:t>
            </w:r>
          </w:p>
        </w:tc>
      </w:tr>
      <w:tr>
        <w:trPr>
          <w:cantSplit/>
        </w:trPr>
        <w:tc>
          <w:tcPr>
            <w:vAlign w:val="center"/>
            <w:tcW w:w="21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labcobot.service</w:t>
            </w:r>
          </w:p>
        </w:tc>
        <w:tc>
          <w:tcPr>
            <w:vAlign w:val="center"/>
            <w:tcW w:w="33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/var/lib/labcobot/venv/bin/python .../main/runtime.py --runtime-mode &lt;mode&gt;</w:t>
            </w:r>
          </w:p>
        </w:tc>
        <w:tc>
          <w:tcPr>
            <w:vAlign w:val="center"/>
            <w:tcW w:w="3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Unprivilegiert; systemd notify/watchdog; on-failure Restart; NoNewPrivileges; leere Capability-Sets; UMask 0027; ReadWritePaths begrenzt</w:t>
            </w:r>
          </w:p>
        </w:tc>
      </w:tr>
      <w:tr>
        <w:trPr>
          <w:cantSplit/>
        </w:trPr>
        <w:tc>
          <w:tcPr>
            <w:vAlign w:val="center"/>
            <w:tcW w:w="21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labcobot-lvgl.service</w:t>
            </w:r>
          </w:p>
        </w:tc>
        <w:tc>
          <w:tcPr>
            <w:vAlign w:val="center"/>
            <w:tcW w:w="33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/usr/local/lib/labcobot-lvgl/micropython .../frontend.py</w:t>
            </w:r>
          </w:p>
        </w:tc>
        <w:tc>
          <w:tcPr>
            <w:vAlign w:val="center"/>
            <w:tcW w:w="3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Separater User-Prozess; ProtectSystem=strict; IPAddressDeny=any + localhost allow; Backend-Secrets/State inaccessible; UMask 0077; 256 MB Limit</w:t>
            </w:r>
          </w:p>
        </w:tc>
      </w:tr>
      <w:tr>
        <w:trPr>
          <w:cantSplit/>
        </w:trPr>
        <w:tc>
          <w:tcPr>
            <w:vAlign w:val="center"/>
            <w:tcW w:w="21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boot_supervisor.py</w:t>
            </w:r>
          </w:p>
        </w:tc>
        <w:tc>
          <w:tcPr>
            <w:vAlign w:val="center"/>
            <w:tcW w:w="33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ExecStartPre außerhalb OTA-Swap</w:t>
            </w:r>
          </w:p>
        </w:tc>
        <w:tc>
          <w:tcPr>
            <w:vAlign w:val="center"/>
            <w:tcW w:w="3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Genau ein Pending-Boot; stellt geprüften Backupstand wieder her, wenn Health-Commit ausbleibt</w:t>
            </w:r>
          </w:p>
        </w:tc>
      </w:tr>
      <w:tr>
        <w:trPr>
          <w:cantSplit/>
        </w:trPr>
        <w:tc>
          <w:tcPr>
            <w:vAlign w:val="center"/>
            <w:tcW w:w="21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labwc kiosk</w:t>
            </w:r>
          </w:p>
        </w:tc>
        <w:tc>
          <w:tcPr>
            <w:vAlign w:val="center"/>
            <w:tcW w:w="33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LightDM session</w:t>
            </w:r>
          </w:p>
        </w:tc>
        <w:tc>
          <w:tcPr>
            <w:vAlign w:val="center"/>
            <w:tcW w:w="39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Fullscreen, undecorated, keine Panel/Launcher/Execute-Bindings; SSH und virtuelle Konsole bleiben Recoverypfad</w:t>
            </w:r>
          </w:p>
        </w:tc>
      </w:tr>
    </w:tbl>
    <w:p>
      <w:pPr>
        <w:spacing w:before="80" w:after="80"/>
      </w:pPr>
    </w:p>
    <w:p>
      <w:pPr>
        <w:pStyle w:val="Heading2"/>
      </w:pPr>
      <w:r>
        <w:t>5.2  Runtime-Modi</w:t>
      </w:r>
    </w:p>
    <w:tbl>
      <w:tblPr>
        <w:tblStyle w:val="TableGrid"/>
        <w:jc w:val="left"/>
        <w:tblLook w:firstColumn="1" w:firstRow="1" w:lastColumn="0" w:lastRow="0" w:noHBand="0" w:noVBand="1" w:val="04A0"/>
        <w:tblW w:w="9360" w:type="dxa"/>
        <w:tblInd w:w="120" w:type="dxa"/>
        <w:tblLayout w:type="fixed"/>
      </w:tblPr>
      <w:tblGrid>
        <w:gridCol w:w="1600"/>
        <w:gridCol w:w="4960"/>
        <w:gridCol w:w="2800"/>
      </w:tblGrid>
      <w:tr>
        <w:trPr>
          <w:tblHeader w:val="true"/>
        </w:trPr>
        <w:tc>
          <w:tcPr>
            <w:shd w:fill="E8EEF5"/>
            <w:vAlign w:val="center"/>
            <w:tcW w:w="1600" w:type="dxa"/>
            <w:tcMar>
              <w:top w:w="80" w:type="dxa"/>
              <w:bottom w:w="80" w:type="dxa"/>
              <w:start w:w="120" w:type="dxa"/>
              <w:end w:w="120" w:type="dxa"/>
            </w:tcMar>
          </w:tcPr>
          <w:p>
            <w:pPr>
              <w:spacing w:before="20" w:after="20"/>
              <w:jc w:val="center"/>
            </w:pPr>
            <w:r>
              <w:rPr>
                <w:rFonts w:ascii="Calibri" w:hAnsi="Calibri" w:eastAsia="Calibri"/>
                <w:b/>
                <w:color w:val="203748"/>
                <w:sz w:val="18"/>
              </w:rPr>
              <w:t>Modus</w:t>
            </w:r>
          </w:p>
        </w:tc>
        <w:tc>
          <w:tcPr>
            <w:shd w:fill="E8EEF5"/>
            <w:vAlign w:val="center"/>
            <w:tcW w:w="4960" w:type="dxa"/>
            <w:tcMar>
              <w:top w:w="80" w:type="dxa"/>
              <w:bottom w:w="80" w:type="dxa"/>
              <w:start w:w="120" w:type="dxa"/>
              <w:end w:w="120" w:type="dxa"/>
            </w:tcMar>
          </w:tcPr>
          <w:p>
            <w:pPr>
              <w:spacing w:before="20" w:after="20"/>
              <w:jc w:val="center"/>
            </w:pPr>
            <w:r>
              <w:rPr>
                <w:rFonts w:ascii="Calibri" w:hAnsi="Calibri" w:eastAsia="Calibri"/>
                <w:b/>
                <w:color w:val="203748"/>
                <w:sz w:val="18"/>
              </w:rPr>
              <w:t>Zweck</w:t>
            </w:r>
          </w:p>
        </w:tc>
        <w:tc>
          <w:tcPr>
            <w:shd w:fill="E8EEF5"/>
            <w:vAlign w:val="center"/>
            <w:tcW w:w="2800" w:type="dxa"/>
            <w:tcMar>
              <w:top w:w="80" w:type="dxa"/>
              <w:bottom w:w="80" w:type="dxa"/>
              <w:start w:w="120" w:type="dxa"/>
              <w:end w:w="120" w:type="dxa"/>
            </w:tcMar>
          </w:tcPr>
          <w:p>
            <w:pPr>
              <w:spacing w:before="20" w:after="20"/>
              <w:jc w:val="center"/>
            </w:pPr>
            <w:r>
              <w:rPr>
                <w:rFonts w:ascii="Calibri" w:hAnsi="Calibri" w:eastAsia="Calibri"/>
                <w:b/>
                <w:color w:val="203748"/>
                <w:sz w:val="18"/>
              </w:rPr>
              <w:t>Motion</w:t>
            </w:r>
          </w:p>
        </w:tc>
      </w:tr>
      <w:tr>
        <w:trPr>
          <w:cantSplit/>
        </w:trPr>
        <w:tc>
          <w:tcPr>
            <w:vAlign w:val="center"/>
            <w:tcW w:w="16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8"/>
              </w:rPr>
              <w:t>gateway</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Zwei OAKs, MJPEG, Lite6-Telemetrie, optional signierte OTA</w:t>
            </w:r>
          </w:p>
        </w:tc>
        <w:tc>
          <w:tcPr>
            <w:vAlign w:val="center"/>
            <w:tcW w:w="28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Strikt abgelehnt</w:t>
            </w:r>
          </w:p>
        </w:tc>
      </w:tr>
      <w:tr>
        <w:trPr>
          <w:cantSplit/>
        </w:trPr>
        <w:tc>
          <w:tcPr>
            <w:vAlign w:val="center"/>
            <w:tcW w:w="16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8"/>
              </w:rPr>
              <w:t>operator</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Kommissionierte, kamerageführte Ventil-Suche</w:t>
            </w:r>
          </w:p>
        </w:tc>
        <w:tc>
          <w:tcPr>
            <w:vAlign w:val="center"/>
            <w:tcW w:w="28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Nur nach Profil/Kalibrierung/Primitive/Modell + Zwei-Tap</w:t>
            </w:r>
          </w:p>
        </w:tc>
      </w:tr>
      <w:tr>
        <w:trPr>
          <w:cantSplit/>
        </w:trPr>
        <w:tc>
          <w:tcPr>
            <w:vAlign w:val="center"/>
            <w:tcW w:w="16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8"/>
              </w:rPr>
              <w:t>workcell</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Fester 15-s-Lauf mit 15 synchronen Bildpaaren und Datasetexport</w:t>
            </w:r>
          </w:p>
        </w:tc>
        <w:tc>
          <w:tcPr>
            <w:vAlign w:val="center"/>
            <w:tcW w:w="28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Nur Capture-Owner nach Evidenz</w:t>
            </w:r>
          </w:p>
        </w:tc>
      </w:tr>
      <w:tr>
        <w:trPr>
          <w:cantSplit/>
        </w:trPr>
        <w:tc>
          <w:tcPr>
            <w:vAlign w:val="center"/>
            <w:tcW w:w="16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8"/>
              </w:rPr>
              <w:t>production</w:t>
            </w:r>
          </w:p>
        </w:tc>
        <w:tc>
          <w:tcPr>
            <w:vAlign w:val="center"/>
            <w:tcW w:w="49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Vollständig provisionierte Cloud-, Kamera-, Offload-, OTA- und Motion-Integration</w:t>
            </w:r>
          </w:p>
        </w:tc>
        <w:tc>
          <w:tcPr>
            <w:vAlign w:val="center"/>
            <w:tcW w:w="28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Fail-closed bei jeder Lücke</w:t>
            </w:r>
          </w:p>
        </w:tc>
      </w:tr>
    </w:tbl>
    <w:p>
      <w:pPr>
        <w:spacing w:before="80" w:after="80"/>
      </w:pPr>
    </w:p>
    <w:p>
      <w:pPr>
        <w:pStyle w:val="Heading2"/>
      </w:pPr>
      <w:r>
        <w:t>5.3  Installationslayout</w:t>
      </w:r>
    </w:p>
    <w:p>
      <w:pPr>
        <w:pStyle w:val="Code"/>
      </w:pPr>
      <w:r>
        <w:rPr>
          <w:rFonts w:ascii="Courier New" w:hAnsi="Courier New" w:eastAsia="Courier New"/>
          <w:color w:val="203748"/>
          <w:sz w:val="17"/>
        </w:rPr>
        <w:t>/var/lib/labcobot/app/           Anwendung (atomarer OTA-Swap)</w:t>
        <w:br/>
        <w:t>/var/lib/labcobot/venv/          Python-Umgebung außerhalb des Swaps</w:t>
        <w:br/>
        <w:t>/var/lib/labcobot/...            Outbox, Datensätze, Kalibrier-/Trainingsdaten</w:t>
        <w:br/>
        <w:t>/etc/labcobot/labcobot.env       root-owned Backend-Konfiguration + Secrets</w:t>
        <w:br/>
        <w:t>/etc/labcobot/labcobot-lvgl.env  secret-freie Display-Konfiguration</w:t>
        <w:br/>
        <w:t>/usr/local/lib/labcobot/         Boot-Supervisor/Host-Helfer</w:t>
        <w:br/>
        <w:t>/usr/local/lib/labcobot-lvgl/    gepinntes LVGL MicroPython + Frontend</w:t>
      </w:r>
    </w:p>
    <w:p>
      <w:pPr>
        <w:pStyle w:val="Heading1"/>
      </w:pPr>
      <w:r>
        <w:t>6  LVGL Bedienoberfläche (6 Tasten)</w:t>
      </w:r>
    </w:p>
    <w:p>
      <w:pPr>
        <w:spacing w:before="0" w:after="120"/>
      </w:pPr>
      <w:r>
        <w:rPr>
          <w:rFonts w:ascii="Calibri" w:hAnsi="Calibri" w:eastAsia="Calibri"/>
          <w:b w:val="0"/>
          <w:i w:val="0"/>
          <w:color w:val="17202A"/>
          <w:sz w:val="22"/>
        </w:rPr>
        <w:t>Die Startseite ist für 1024 x 600 und Touchbedienung ausgelegt. Navigation bleibt auch bei nicht verfügbaren Funktionen möglich, damit Status und Blockiergrund sichtbar sind. Eine Navigationstaste löst allein keine Robotikaktion aus.</w:t>
      </w:r>
    </w:p>
    <w:tbl>
      <w:tblPr>
        <w:tblStyle w:val="TableGrid"/>
        <w:jc w:val="left"/>
        <w:tblLook w:firstColumn="1" w:firstRow="1" w:lastColumn="0" w:lastRow="0" w:noHBand="0" w:noVBand="1" w:val="04A0"/>
        <w:tblW w:w="9360" w:type="dxa"/>
        <w:tblInd w:w="120" w:type="dxa"/>
        <w:tblLayout w:type="fixed"/>
      </w:tblPr>
      <w:tblGrid>
        <w:gridCol w:w="560"/>
        <w:gridCol w:w="2100"/>
        <w:gridCol w:w="4100"/>
        <w:gridCol w:w="2600"/>
      </w:tblGrid>
      <w:tr>
        <w:trPr>
          <w:tblHeader w:val="true"/>
        </w:trPr>
        <w:tc>
          <w:tcPr>
            <w:shd w:fill="E8EEF5"/>
            <w:vAlign w:val="center"/>
            <w:tcW w:w="560" w:type="dxa"/>
            <w:tcMar>
              <w:top w:w="80" w:type="dxa"/>
              <w:bottom w:w="80" w:type="dxa"/>
              <w:start w:w="120" w:type="dxa"/>
              <w:end w:w="120" w:type="dxa"/>
            </w:tcMar>
          </w:tcPr>
          <w:p>
            <w:pPr>
              <w:spacing w:before="20" w:after="20"/>
              <w:jc w:val="center"/>
            </w:pPr>
            <w:r>
              <w:rPr>
                <w:rFonts w:ascii="Calibri" w:hAnsi="Calibri" w:eastAsia="Calibri"/>
                <w:b/>
                <w:color w:val="203748"/>
                <w:sz w:val="16"/>
              </w:rPr>
              <w:t>Nr.</w:t>
            </w:r>
          </w:p>
        </w:tc>
        <w:tc>
          <w:tcPr>
            <w:shd w:fill="E8EEF5"/>
            <w:vAlign w:val="center"/>
            <w:tcW w:w="2100" w:type="dxa"/>
            <w:tcMar>
              <w:top w:w="80" w:type="dxa"/>
              <w:bottom w:w="80" w:type="dxa"/>
              <w:start w:w="120" w:type="dxa"/>
              <w:end w:w="120" w:type="dxa"/>
            </w:tcMar>
          </w:tcPr>
          <w:p>
            <w:pPr>
              <w:spacing w:before="20" w:after="20"/>
              <w:jc w:val="center"/>
            </w:pPr>
            <w:r>
              <w:rPr>
                <w:rFonts w:ascii="Calibri" w:hAnsi="Calibri" w:eastAsia="Calibri"/>
                <w:b/>
                <w:color w:val="203748"/>
                <w:sz w:val="16"/>
              </w:rPr>
              <w:t>Titel</w:t>
            </w:r>
          </w:p>
        </w:tc>
        <w:tc>
          <w:tcPr>
            <w:shd w:fill="E8EEF5"/>
            <w:vAlign w:val="center"/>
            <w:tcW w:w="4100" w:type="dxa"/>
            <w:tcMar>
              <w:top w:w="80" w:type="dxa"/>
              <w:bottom w:w="80" w:type="dxa"/>
              <w:start w:w="120" w:type="dxa"/>
              <w:end w:w="120" w:type="dxa"/>
            </w:tcMar>
          </w:tcPr>
          <w:p>
            <w:pPr>
              <w:spacing w:before="20" w:after="20"/>
              <w:jc w:val="center"/>
            </w:pPr>
            <w:r>
              <w:rPr>
                <w:rFonts w:ascii="Calibri" w:hAnsi="Calibri" w:eastAsia="Calibri"/>
                <w:b/>
                <w:color w:val="203748"/>
                <w:sz w:val="16"/>
              </w:rPr>
              <w:t>Bedienfunktion</w:t>
            </w:r>
          </w:p>
        </w:tc>
        <w:tc>
          <w:tcPr>
            <w:shd w:fill="E8EEF5"/>
            <w:vAlign w:val="center"/>
            <w:tcW w:w="2600" w:type="dxa"/>
            <w:tcMar>
              <w:top w:w="80" w:type="dxa"/>
              <w:bottom w:w="80" w:type="dxa"/>
              <w:start w:w="120" w:type="dxa"/>
              <w:end w:w="120" w:type="dxa"/>
            </w:tcMar>
          </w:tcPr>
          <w:p>
            <w:pPr>
              <w:spacing w:before="20" w:after="20"/>
              <w:jc w:val="center"/>
            </w:pPr>
            <w:r>
              <w:rPr>
                <w:rFonts w:ascii="Calibri" w:hAnsi="Calibri" w:eastAsia="Calibri"/>
                <w:b/>
                <w:color w:val="203748"/>
                <w:sz w:val="16"/>
              </w:rPr>
              <w:t>Aktionsgrenze</w:t>
            </w:r>
          </w:p>
        </w:tc>
      </w:tr>
      <w:tr>
        <w:trPr>
          <w:cantSplit/>
        </w:trPr>
        <w:tc>
          <w:tcPr>
            <w:vAlign w:val="center"/>
            <w:tcW w:w="56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01</w:t>
            </w:r>
          </w:p>
        </w:tc>
        <w:tc>
          <w:tcPr>
            <w:vAlign w:val="center"/>
            <w:tcW w:w="2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VIDEOSTREAM 1</w:t>
            </w:r>
          </w:p>
        </w:tc>
        <w:tc>
          <w:tcPr>
            <w:vAlign w:val="center"/>
            <w:tcW w:w="4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Tool-Kamera Live/Snapshot, Freshness und Kameraidentität</w:t>
            </w:r>
          </w:p>
        </w:tc>
        <w:tc>
          <w:tcPr>
            <w:vAlign w:val="center"/>
            <w:tcW w:w="26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Keine Speicherung; keine Zielkoordinate</w:t>
            </w:r>
          </w:p>
        </w:tc>
      </w:tr>
      <w:tr>
        <w:trPr>
          <w:cantSplit/>
        </w:trPr>
        <w:tc>
          <w:tcPr>
            <w:vAlign w:val="center"/>
            <w:tcW w:w="56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02</w:t>
            </w:r>
          </w:p>
        </w:tc>
        <w:tc>
          <w:tcPr>
            <w:vAlign w:val="center"/>
            <w:tcW w:w="2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VIDEOSTREAM 2</w:t>
            </w:r>
          </w:p>
        </w:tc>
        <w:tc>
          <w:tcPr>
            <w:vAlign w:val="center"/>
            <w:tcW w:w="4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Workspace-Kamera Live/Snapshot</w:t>
            </w:r>
          </w:p>
        </w:tc>
        <w:tc>
          <w:tcPr>
            <w:vAlign w:val="center"/>
            <w:tcW w:w="26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Monitoring-only, solange keine separate Kalibrierung/Policy</w:t>
            </w:r>
          </w:p>
        </w:tc>
      </w:tr>
      <w:tr>
        <w:trPr>
          <w:cantSplit/>
        </w:trPr>
        <w:tc>
          <w:tcPr>
            <w:vAlign w:val="center"/>
            <w:tcW w:w="56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03</w:t>
            </w:r>
          </w:p>
        </w:tc>
        <w:tc>
          <w:tcPr>
            <w:vAlign w:val="center"/>
            <w:tcW w:w="2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xARM + SYSTEM CONTROL</w:t>
            </w:r>
          </w:p>
        </w:tc>
        <w:tc>
          <w:tcPr>
            <w:vAlign w:val="center"/>
            <w:tcW w:w="4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Controllerzustand, Safety-Gates, Robotmetriken; ggf. konfigurierte Search Path Funktion</w:t>
            </w:r>
          </w:p>
        </w:tc>
        <w:tc>
          <w:tcPr>
            <w:vAlign w:val="center"/>
            <w:tcW w:w="26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Kein Jog. Safety-Profil und Search jeweils getrennte Zwei-Schritt-Freigaben; STOP sichtbar</w:t>
            </w:r>
          </w:p>
        </w:tc>
      </w:tr>
      <w:tr>
        <w:trPr>
          <w:cantSplit/>
        </w:trPr>
        <w:tc>
          <w:tcPr>
            <w:vAlign w:val="center"/>
            <w:tcW w:w="56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04</w:t>
            </w:r>
          </w:p>
        </w:tc>
        <w:tc>
          <w:tcPr>
            <w:vAlign w:val="center"/>
            <w:tcW w:w="2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CAPTURE + DATAHUB</w:t>
            </w:r>
          </w:p>
        </w:tc>
        <w:tc>
          <w:tcPr>
            <w:vAlign w:val="center"/>
            <w:tcW w:w="4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Status des festen 15-s-Datasetlaufs, 0..15 Zeitpunkte je Kamera, Exportstatus</w:t>
            </w:r>
          </w:p>
        </w:tc>
        <w:tc>
          <w:tcPr>
            <w:vAlign w:val="center"/>
            <w:tcW w:w="26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Start nur nach Tastendruck und zweiter Bestätigung; nicht periodisch</w:t>
            </w:r>
          </w:p>
        </w:tc>
      </w:tr>
      <w:tr>
        <w:trPr>
          <w:cantSplit/>
        </w:trPr>
        <w:tc>
          <w:tcPr>
            <w:vAlign w:val="center"/>
            <w:tcW w:w="56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05</w:t>
            </w:r>
          </w:p>
        </w:tc>
        <w:tc>
          <w:tcPr>
            <w:vAlign w:val="center"/>
            <w:tcW w:w="2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SYSTEM UPDATE</w:t>
            </w:r>
          </w:p>
        </w:tc>
        <w:tc>
          <w:tcPr>
            <w:vAlign w:val="center"/>
            <w:tcW w:w="4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Installierte/gefundene Version, Signaturstatus, 'JETZT UPDATEN'</w:t>
            </w:r>
          </w:p>
        </w:tc>
        <w:tc>
          <w:tcPr>
            <w:vAlign w:val="center"/>
            <w:tcW w:w="26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Nur signierte Releaseprüfung; laufende Aktionen blockieren Update</w:t>
            </w:r>
          </w:p>
        </w:tc>
      </w:tr>
      <w:tr>
        <w:trPr>
          <w:cantSplit/>
        </w:trPr>
        <w:tc>
          <w:tcPr>
            <w:vAlign w:val="center"/>
            <w:tcW w:w="56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06</w:t>
            </w:r>
          </w:p>
        </w:tc>
        <w:tc>
          <w:tcPr>
            <w:vAlign w:val="center"/>
            <w:tcW w:w="2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SYSTEM METRICS</w:t>
            </w:r>
          </w:p>
        </w:tc>
        <w:tc>
          <w:tcPr>
            <w:vAlign w:val="center"/>
            <w:tcW w:w="41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Gateway-, Kamera-, Capture-, DataHub-, OTA- und Systemmetriken; Zugang über 'OPERATIONS &gt;'</w:t>
            </w:r>
          </w:p>
        </w:tc>
        <w:tc>
          <w:tcPr>
            <w:vAlign w:val="center"/>
            <w:tcW w:w="26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Diagnose read-only; Operationsaktionen jeweils separat gegated</w:t>
            </w:r>
          </w:p>
        </w:tc>
      </w:tr>
    </w:tbl>
    <w:p>
      <w:pPr>
        <w:spacing w:before="80" w:after="80"/>
      </w:pPr>
    </w:p>
    <w:p>
      <w:pPr>
        <w:pStyle w:val="Heading2"/>
      </w:pPr>
      <w:r>
        <w:t>6.1  xArm Robot Metrics</w:t>
      </w:r>
    </w:p>
    <w:p>
      <w:pPr>
        <w:pStyle w:val="ListBullet"/>
      </w:pPr>
      <w:r>
        <w:rPr>
          <w:rFonts w:ascii="Calibri" w:hAnsi="Calibri" w:eastAsia="Calibri"/>
          <w:color w:val="17202A"/>
          <w:sz w:val="22"/>
        </w:rPr>
        <w:tab/>
        <w:t>Seite STATUS: Connection, Sample Age, State, Mode, Motion, Error, Warning, Queue, Reduced Mode, TCP Safety Boundary, Collision Rebound, Control Envelope.</w:t>
      </w:r>
    </w:p>
    <w:p>
      <w:pPr>
        <w:pStyle w:val="ListBullet"/>
      </w:pPr>
      <w:r>
        <w:rPr>
          <w:rFonts w:ascii="Calibri" w:hAnsi="Calibri" w:eastAsia="Calibri"/>
          <w:color w:val="17202A"/>
          <w:sz w:val="22"/>
        </w:rPr>
        <w:tab/>
        <w:t>Seite TCP: Position/Orientierung in Grad und Rad, Payload, Schwerpunkt, TCP Boundary, TCP Speed.</w:t>
      </w:r>
    </w:p>
    <w:p>
      <w:pPr>
        <w:pStyle w:val="ListBullet"/>
      </w:pPr>
      <w:r>
        <w:rPr>
          <w:rFonts w:ascii="Calibri" w:hAnsi="Calibri" w:eastAsia="Calibri"/>
          <w:color w:val="17202A"/>
          <w:sz w:val="22"/>
        </w:rPr>
        <w:tab/>
        <w:t>Seite JOINTS: J1..J6 Winkel, Geschwindigkeit und SDK-Effort.</w:t>
      </w:r>
    </w:p>
    <w:p>
      <w:pPr>
        <w:pStyle w:val="ListBullet"/>
      </w:pPr>
      <w:r>
        <w:rPr>
          <w:rFonts w:ascii="Calibri" w:hAnsi="Calibri" w:eastAsia="Calibri"/>
          <w:color w:val="17202A"/>
          <w:sz w:val="22"/>
        </w:rPr>
        <w:tab/>
        <w:t>Seite CONTROLLER: Firmware, Achsen-/Gerätetyp, Temperaturen, Spannungen, Ströme, Motor-Enable/Brake, Collision-/Teach-Sensitivity, Joint Speed und Joint Limits.</w:t>
      </w:r>
    </w:p>
    <w:p>
      <w:pPr>
        <w:pStyle w:val="CalloutWarning"/>
      </w:pPr>
      <w:r>
        <w:rPr>
          <w:rFonts w:ascii="Calibri" w:hAnsi="Calibri" w:eastAsia="Calibri"/>
          <w:b/>
          <w:color w:val="7A5A00"/>
          <w:sz w:val="21"/>
        </w:rPr>
        <w:t xml:space="preserve">Darstellung: </w:t>
      </w:r>
      <w:r>
        <w:rPr>
          <w:rFonts w:ascii="Calibri" w:hAnsi="Calibri" w:eastAsia="Calibri"/>
          <w:color w:val="7A5A00"/>
          <w:sz w:val="21"/>
        </w:rPr>
        <w:t>UNAVAILABLE oder stale ist kein UI-Fehler, sondern eine Sicherheitsinformation. Die UI ersetzt fehlende oder malformed Felder niemals durch scheinbar grüne Standardwerte.</w:t>
      </w:r>
    </w:p>
    <w:p>
      <w:pPr>
        <w:pStyle w:val="Heading2"/>
      </w:pPr>
      <w:r>
        <w:t>6.2  Kamera-, Capture- und OTA-Evidenz</w:t>
      </w:r>
    </w:p>
    <w:p>
      <w:pPr>
        <w:pStyle w:val="ListBullet"/>
      </w:pPr>
      <w:r>
        <w:rPr>
          <w:rFonts w:ascii="Calibri" w:hAnsi="Calibri" w:eastAsia="Calibri"/>
          <w:color w:val="17202A"/>
          <w:sz w:val="22"/>
        </w:rPr>
        <w:tab/>
        <w:t>Jede Kameraseite zeigt Rolle, Backend, MXID/Source, Freshness, Sample Age, Sequenz, Frame-, Reconnect- und Fehlerzähler aus einem atomaren bounded Statussnapshot.</w:t>
      </w:r>
    </w:p>
    <w:p>
      <w:pPr>
        <w:pStyle w:val="ListBullet"/>
      </w:pPr>
      <w:r>
        <w:rPr>
          <w:rFonts w:ascii="Calibri" w:hAnsi="Calibri" w:eastAsia="Calibri"/>
          <w:color w:val="17202A"/>
          <w:sz w:val="22"/>
        </w:rPr>
        <w:tab/>
        <w:t>Ein Snapshotfehler entfernt das vorherige Bild. 'LIVE PREVIEW ONLY / NOT SAVED TO DATASET' bleibt unabhängig vom Bilderfolg sichtbar.</w:t>
      </w:r>
    </w:p>
    <w:p>
      <w:pPr>
        <w:pStyle w:val="ListBullet"/>
      </w:pPr>
      <w:r>
        <w:rPr>
          <w:rFonts w:ascii="Calibri" w:hAnsi="Calibri" w:eastAsia="Calibri"/>
          <w:color w:val="17202A"/>
          <w:sz w:val="22"/>
        </w:rPr>
        <w:tab/>
        <w:t>Capture zeigt den exakten bounded Fehlercode sowie local_manifest_state. local_manifest_complete wird nur nach 15 Zeitpunkten und erneuter Prüfung der vollständigen lokalen Evidenz wahr.</w:t>
      </w:r>
    </w:p>
    <w:p>
      <w:pPr>
        <w:pStyle w:val="ListBullet"/>
      </w:pPr>
      <w:r>
        <w:rPr>
          <w:rFonts w:ascii="Calibri" w:hAnsi="Calibri" w:eastAsia="Calibri"/>
          <w:color w:val="17202A"/>
          <w:sz w:val="22"/>
        </w:rPr>
        <w:tab/>
        <w:t>OTA zeigt Signatur- und Archivdigest erst grün, wenn das Backend den jeweiligen Nachweis ausdrücklich als verifiziert meldet; idle oder bloß konfiguriert reicht nicht.</w:t>
      </w:r>
    </w:p>
    <w:p>
      <w:pPr>
        <w:pStyle w:val="Heading2"/>
      </w:pPr>
      <w:r>
        <w:t>6.3  Operations-Dashboard</w:t>
      </w:r>
    </w:p>
    <w:p>
      <w:pPr>
        <w:pStyle w:val="ListBullet"/>
      </w:pPr>
      <w:r>
        <w:rPr>
          <w:rFonts w:ascii="Calibri" w:hAnsi="Calibri" w:eastAsia="Calibri"/>
          <w:color w:val="17202A"/>
          <w:sz w:val="22"/>
        </w:rPr>
        <w:tab/>
        <w:t>PETRI: Zwei-Schritt-Challenge für einen separat kommissionierten Prozesscontroller; ohne Controller sichtbar UNAVAILABLE.</w:t>
      </w:r>
    </w:p>
    <w:p>
      <w:pPr>
        <w:pStyle w:val="ListBullet"/>
      </w:pPr>
      <w:r>
        <w:rPr>
          <w:rFonts w:ascii="Calibri" w:hAnsi="Calibri" w:eastAsia="Calibri"/>
          <w:color w:val="17202A"/>
          <w:sz w:val="22"/>
        </w:rPr>
        <w:tab/>
        <w:t>REGISTRATION: ausschließlich read-only Bereitschaftsprüfung; erzeugt und verändert keine Geräteidentität.</w:t>
      </w:r>
    </w:p>
    <w:p>
      <w:pPr>
        <w:pStyle w:val="ListBullet"/>
      </w:pPr>
      <w:r>
        <w:rPr>
          <w:rFonts w:ascii="Calibri" w:hAnsi="Calibri" w:eastAsia="Calibri"/>
          <w:color w:val="17202A"/>
          <w:sz w:val="22"/>
        </w:rPr>
        <w:tab/>
        <w:t>DATAHUB / OUTBOX: Binding, Pending- und Dead-Letter-Zähler; keine rohe Queue-Mutation aus der UI.</w:t>
      </w:r>
    </w:p>
    <w:p>
      <w:pPr>
        <w:pStyle w:val="ListBullet"/>
      </w:pPr>
      <w:r>
        <w:rPr>
          <w:rFonts w:ascii="Calibri" w:hAnsi="Calibri" w:eastAsia="Calibri"/>
          <w:color w:val="17202A"/>
          <w:sz w:val="22"/>
        </w:rPr>
        <w:tab/>
        <w:t>RECOVERY: Zwei-Schritt-Challenge für einen separat geprüften Rückweg; kein generisches Home/Jog.</w:t>
      </w:r>
    </w:p>
    <w:p>
      <w:pPr>
        <w:pStyle w:val="ListBullet"/>
      </w:pPr>
      <w:r>
        <w:rPr>
          <w:rFonts w:ascii="Calibri" w:hAnsi="Calibri" w:eastAsia="Calibri"/>
          <w:color w:val="17202A"/>
          <w:sz w:val="22"/>
        </w:rPr>
        <w:tab/>
        <w:t>IDENTITY / REVIEW: Registrysummen, ältester offener Backendkandidat und Challenge-gebundene Bildprüfung; ohne Registry+Artefaktroot fail-closed.</w:t>
      </w:r>
    </w:p>
    <w:p>
      <w:pPr>
        <w:pStyle w:val="ListBullet"/>
      </w:pPr>
      <w:r>
        <w:rPr>
          <w:rFonts w:ascii="Calibri" w:hAnsi="Calibri" w:eastAsia="Calibri"/>
          <w:color w:val="17202A"/>
          <w:sz w:val="22"/>
        </w:rPr>
        <w:tab/>
        <w:t>HISTORY / EXPORT: bounded Zähler und jüngste Datensätze; Export bleibt deaktiviert, bis eine echte berechtigte Kiosk-Exportaktion existiert.</w:t>
      </w:r>
    </w:p>
    <w:p>
      <w:pPr>
        <w:pStyle w:val="ListBullet"/>
      </w:pPr>
      <w:r>
        <w:rPr>
          <w:rFonts w:ascii="Calibri" w:hAnsi="Calibri" w:eastAsia="Calibri"/>
          <w:color w:val="17202A"/>
          <w:sz w:val="22"/>
        </w:rPr>
        <w:tab/>
        <w:t>Petri/Recovery verwenden Einmal-Challenges und latchen SOFTWARE STOP vor dem zweiten Transportaufruf.</w:t>
      </w:r>
    </w:p>
    <w:p>
      <w:pPr>
        <w:pStyle w:val="CalloutNote"/>
      </w:pPr>
      <w:r>
        <w:rPr>
          <w:rFonts w:ascii="Calibri" w:hAnsi="Calibri" w:eastAsia="Calibri"/>
          <w:b/>
          <w:color w:val="1F4D78"/>
          <w:sz w:val="21"/>
        </w:rPr>
        <w:t xml:space="preserve">Responsiveness: </w:t>
      </w:r>
      <w:r>
        <w:rPr>
          <w:rFonts w:ascii="Calibri" w:hAnsi="Calibri" w:eastAsia="Calibri"/>
          <w:color w:val="1F4D78"/>
          <w:sz w:val="21"/>
        </w:rPr>
        <w:t>Health-, Kamera- und normale Action-Aufrufe laufen in einer begrenzten, koaleszierenden Hintergrundwarteschlange. SOFTWARE STOP besitzt einen unabhängigen priorisierten Dispatcher und bleibt auch bei einem hängenden Poll oder Action-Request bedienbar.</w:t>
      </w:r>
    </w:p>
    <w:p>
      <w:pPr>
        <w:pStyle w:val="Heading1"/>
      </w:pPr>
      <w:r>
        <w:t>7  Funktionale Workflows</w:t>
      </w:r>
    </w:p>
    <w:p>
      <w:pPr>
        <w:pStyle w:val="Heading2"/>
      </w:pPr>
      <w:r>
        <w:t>7.1  Dual-Vision Gateway</w:t>
      </w:r>
    </w:p>
    <w:p>
      <w:pPr>
        <w:pStyle w:val="ListNumber"/>
        <w:numPr>
          <w:ilvl w:val="0"/>
          <w:numId w:val="10"/>
        </w:numPr>
      </w:pPr>
      <w:r>
        <w:rPr>
          <w:rFonts w:ascii="Calibri" w:hAnsi="Calibri" w:eastAsia="Calibri"/>
          <w:color w:val="17202A"/>
          <w:sz w:val="22"/>
        </w:rPr>
        <w:t>Backend startet beide physisch gebundenen OAK-D-Lite-Quellen und hält pro Rolle nur den neuesten Frame.</w:t>
      </w:r>
    </w:p>
    <w:p>
      <w:pPr>
        <w:pStyle w:val="ListNumber"/>
        <w:numPr>
          <w:ilvl w:val="0"/>
          <w:numId w:val="10"/>
        </w:numPr>
      </w:pPr>
      <w:r>
        <w:rPr>
          <w:rFonts w:ascii="Calibri" w:hAnsi="Calibri" w:eastAsia="Calibri"/>
          <w:color w:val="17202A"/>
          <w:sz w:val="22"/>
        </w:rPr>
        <w:t>Freshness und Fehlerzähler fließen in /healthz und die LVGL-Tasten 01/02/06.</w:t>
      </w:r>
    </w:p>
    <w:p>
      <w:pPr>
        <w:pStyle w:val="ListNumber"/>
        <w:numPr>
          <w:ilvl w:val="0"/>
          <w:numId w:val="10"/>
        </w:numPr>
      </w:pPr>
      <w:r>
        <w:rPr>
          <w:rFonts w:ascii="Calibri" w:hAnsi="Calibri" w:eastAsia="Calibri"/>
          <w:color w:val="17202A"/>
          <w:sz w:val="22"/>
        </w:rPr>
        <w:t>Lite6-Telemetrie wird read-only erfasst und zusammen mit Systemmetriken angezeigt.</w:t>
      </w:r>
    </w:p>
    <w:p>
      <w:pPr>
        <w:pStyle w:val="ListNumber"/>
        <w:numPr>
          <w:ilvl w:val="0"/>
          <w:numId w:val="10"/>
        </w:numPr>
      </w:pPr>
      <w:r>
        <w:rPr>
          <w:rFonts w:ascii="Calibri" w:hAnsi="Calibri" w:eastAsia="Calibri"/>
          <w:color w:val="17202A"/>
          <w:sz w:val="22"/>
        </w:rPr>
        <w:t>Livebilder bleiben flüchtig. Dauerhafte Kamera-JPEGs und Datasetexport entstehen ausschließlich nach dem bestätigten Capture-Tastendruck; kein periodischer Hintergrund-Bildupload läuft. Eine kommissionierte Remote-Modellbestätigung darf genau einen begrenzten flüchtigen Search-Frame nur während einer gültigen Zwei-Tap-Search-Autorisierung übertragen; ohne diese Freigabe erhält kein Offload JPEG-Daten.</w:t>
      </w:r>
    </w:p>
    <w:p>
      <w:pPr>
        <w:pStyle w:val="Heading2"/>
      </w:pPr>
      <w:r>
        <w:t>7.2  Petri-Workflow</w:t>
      </w:r>
    </w:p>
    <w:p>
      <w:pPr>
        <w:pStyle w:val="ListBullet"/>
      </w:pPr>
      <w:r>
        <w:rPr>
          <w:rFonts w:ascii="Calibri" w:hAnsi="Calibri" w:eastAsia="Calibri"/>
          <w:color w:val="17202A"/>
          <w:sz w:val="22"/>
        </w:rPr>
        <w:tab/>
        <w:t>QR-Identität labcobot:v1:&lt;plate-id&gt;:&lt;checksum&gt;; keine personenbezogenen Daten oder Secrets.</w:t>
      </w:r>
    </w:p>
    <w:p>
      <w:pPr>
        <w:pStyle w:val="ListBullet"/>
      </w:pPr>
      <w:r>
        <w:rPr>
          <w:rFonts w:ascii="Calibri" w:hAnsi="Calibri" w:eastAsia="Calibri"/>
          <w:color w:val="17202A"/>
          <w:sz w:val="22"/>
        </w:rPr>
        <w:tab/>
        <w:t>Segmentierung erzeugt Kreisfläche, annotiertes Bild, bounded Crops, stabile CELL-/OBS-IDs und ein versioniertes Manifest.</w:t>
      </w:r>
    </w:p>
    <w:p>
      <w:pPr>
        <w:pStyle w:val="ListBullet"/>
      </w:pPr>
      <w:r>
        <w:rPr>
          <w:rFonts w:ascii="Calibri" w:hAnsi="Calibri" w:eastAsia="Calibri"/>
          <w:color w:val="17202A"/>
          <w:sz w:val="22"/>
        </w:rPr>
        <w:tab/>
        <w:t>Niedrige Konfidenz oder starke Überlappung erzwingt manuelle Auswahl; nicht geprüfte Beobachtungen werden nicht gemappt.</w:t>
      </w:r>
    </w:p>
    <w:p>
      <w:pPr>
        <w:pStyle w:val="ListBullet"/>
      </w:pPr>
      <w:r>
        <w:rPr>
          <w:rFonts w:ascii="Calibri" w:hAnsi="Calibri" w:eastAsia="Calibri"/>
          <w:color w:val="17202A"/>
          <w:sz w:val="22"/>
        </w:rPr>
        <w:tab/>
        <w:t>SQLite-Historie und CSV-Export liefern Clusterverlauf, Zeit, Fläche, Konfidenz und Reviewstatus.</w:t>
      </w:r>
    </w:p>
    <w:p>
      <w:pPr>
        <w:pStyle w:val="ListBullet"/>
      </w:pPr>
      <w:r>
        <w:rPr>
          <w:rFonts w:ascii="Calibri" w:hAnsi="Calibri" w:eastAsia="Calibri"/>
          <w:color w:val="17202A"/>
          <w:sz w:val="22"/>
        </w:rPr>
        <w:tab/>
        <w:t>Das Operations-Dashboard zeigt den Petri-Vertrag und seine Blockiergründe. Ohne separat kommissionierten physischen Controller bleibt Start fail-closed.</w:t>
      </w:r>
    </w:p>
    <w:p>
      <w:pPr>
        <w:pStyle w:val="Heading2"/>
      </w:pPr>
      <w:r>
        <w:t>7.3  Kamerageführte Search Path Funktion</w:t>
      </w:r>
    </w:p>
    <w:p>
      <w:pPr>
        <w:spacing w:before="0" w:after="120"/>
      </w:pPr>
      <w:r>
        <w:rPr>
          <w:rFonts w:ascii="Calibri" w:hAnsi="Calibri" w:eastAsia="Calibri"/>
          <w:b w:val="0"/>
          <w:i w:val="0"/>
          <w:color w:val="17202A"/>
          <w:sz w:val="22"/>
        </w:rPr>
        <w:t>Die Search Path Funktion ist technisch vorhanden, aber am verifizierten Gateway nicht kommissioniert. Zulässige Pipeline: frischer Tool-Kameraframe -&gt; geprüftes lokales ONNX-Modell oder authentisierte Remote-Bestätigung -&gt; Tracking -&gt; MXID-/Digest-gebundene Eye-in-Hand-Mappingkette -&gt; Workspace/IK/Trajektorienprüfung -&gt; Zwei-Tap-Autorisierung -&gt; genau eine geprüfte Bewegung.</w:t>
      </w:r>
    </w:p>
    <w:p>
      <w:pPr>
        <w:pStyle w:val="CalloutDanger"/>
      </w:pPr>
      <w:r>
        <w:rPr>
          <w:rFonts w:ascii="Calibri" w:hAnsi="Calibri" w:eastAsia="Calibri"/>
          <w:b/>
          <w:color w:val="9B1C1C"/>
          <w:sz w:val="21"/>
        </w:rPr>
        <w:t xml:space="preserve">Kein Shortcut: </w:t>
      </w:r>
      <w:r>
        <w:rPr>
          <w:rFonts w:ascii="Calibri" w:hAnsi="Calibri" w:eastAsia="Calibri"/>
          <w:color w:val="9B1C1C"/>
          <w:sz w:val="21"/>
        </w:rPr>
        <w:t>Safety Config kann lediglich ein bereits geprüftes Profil anwenden. Sie erzeugt weder Kalibrierung noch Primitive oder Modell und aktiviert keine Motoren.</w:t>
      </w:r>
    </w:p>
    <w:p>
      <w:pPr>
        <w:pStyle w:val="Heading2"/>
      </w:pPr>
      <w:r>
        <w:t>7.4  15-Sekunden-Datasetlauf</w:t>
      </w:r>
    </w:p>
    <w:p>
      <w:pPr>
        <w:pStyle w:val="ListNumber"/>
        <w:numPr>
          <w:ilvl w:val="0"/>
          <w:numId w:val="11"/>
        </w:numPr>
      </w:pPr>
      <w:r>
        <w:rPr>
          <w:rFonts w:ascii="Calibri" w:hAnsi="Calibri" w:eastAsia="Calibri"/>
          <w:color w:val="17202A"/>
          <w:sz w:val="22"/>
        </w:rPr>
        <w:t>Bediener öffnet Taste 04; ohne konfigurierte Evidenz bleibt START gesperrt.</w:t>
      </w:r>
    </w:p>
    <w:p>
      <w:pPr>
        <w:pStyle w:val="ListNumber"/>
        <w:numPr>
          <w:ilvl w:val="0"/>
          <w:numId w:val="11"/>
        </w:numPr>
      </w:pPr>
      <w:r>
        <w:rPr>
          <w:rFonts w:ascii="Calibri" w:hAnsi="Calibri" w:eastAsia="Calibri"/>
          <w:color w:val="17202A"/>
          <w:sz w:val="22"/>
        </w:rPr>
        <w:t>Erster Starttap fordert eine kurzlebige Bestätigung; zweiter Tap bestätigt denselben Lauf.</w:t>
      </w:r>
    </w:p>
    <w:p>
      <w:pPr>
        <w:pStyle w:val="ListNumber"/>
        <w:numPr>
          <w:ilvl w:val="0"/>
          <w:numId w:val="11"/>
        </w:numPr>
      </w:pPr>
      <w:r>
        <w:rPr>
          <w:rFonts w:ascii="Calibri" w:hAnsi="Calibri" w:eastAsia="Calibri"/>
          <w:color w:val="17202A"/>
          <w:sz w:val="22"/>
        </w:rPr>
        <w:t>Der geprüfte Pfad umfasst exakt 15 Sekunden bei 100 Hz. Zu Offsets 0..14 s wird je ein frisches, skew-bounded Paar gespeichert.</w:t>
      </w:r>
    </w:p>
    <w:p>
      <w:pPr>
        <w:pStyle w:val="ListNumber"/>
        <w:numPr>
          <w:ilvl w:val="0"/>
          <w:numId w:val="11"/>
        </w:numPr>
      </w:pPr>
      <w:r>
        <w:rPr>
          <w:rFonts w:ascii="Calibri" w:hAnsi="Calibri" w:eastAsia="Calibri"/>
          <w:color w:val="17202A"/>
          <w:sz w:val="22"/>
        </w:rPr>
        <w:t>Erfolg bedeutet 15 Zeitpunkte und 30 fsync-gesicherte JPEGs plus vollständiges Manifest.</w:t>
      </w:r>
    </w:p>
    <w:p>
      <w:pPr>
        <w:pStyle w:val="ListNumber"/>
        <w:numPr>
          <w:ilvl w:val="0"/>
          <w:numId w:val="11"/>
        </w:numPr>
      </w:pPr>
      <w:r>
        <w:rPr>
          <w:rFonts w:ascii="Calibri" w:hAnsi="Calibri" w:eastAsia="Calibri"/>
          <w:color w:val="17202A"/>
          <w:sz w:val="22"/>
        </w:rPr>
        <w:t>local_manifest_complete wird erst nach erneutem Lesen und Validieren aller lokalen Evidenz gesetzt; ein UI-Endzustand allein genügt nicht.</w:t>
      </w:r>
    </w:p>
    <w:p>
      <w:pPr>
        <w:pStyle w:val="ListNumber"/>
        <w:numPr>
          <w:ilvl w:val="0"/>
          <w:numId w:val="11"/>
        </w:numPr>
      </w:pPr>
      <w:r>
        <w:rPr>
          <w:rFonts w:ascii="Calibri" w:hAnsi="Calibri" w:eastAsia="Calibri"/>
          <w:color w:val="17202A"/>
          <w:sz w:val="22"/>
        </w:rPr>
        <w:t>Erst nach lokalem Abschluss beginnt der idempotente Datasetexport. Lokale Evidenz wird nicht gelöscht.</w:t>
      </w:r>
    </w:p>
    <w:p>
      <w:pPr>
        <w:pStyle w:val="Heading2"/>
      </w:pPr>
      <w:r>
        <w:t>7.5  Recovery</w:t>
      </w:r>
    </w:p>
    <w:p>
      <w:pPr>
        <w:spacing w:before="0" w:after="120"/>
      </w:pPr>
      <w:r>
        <w:rPr>
          <w:rFonts w:ascii="Calibri" w:hAnsi="Calibri" w:eastAsia="Calibri"/>
          <w:b w:val="0"/>
          <w:i w:val="0"/>
          <w:color w:val="17202A"/>
          <w:sz w:val="22"/>
        </w:rPr>
        <w:t>Return-to-home ist nur für einen echten Fault, einen separat kommissionierten Recovery-Controller, zwei Taps binnen fünf Sekunden, bestätigten freien Workspace und einen vorgeprüften Rückweg zulässig. Fehler/Warnungen werden niemals automatisch bereinigt; danach bleibt Motion locked.</w:t>
      </w:r>
    </w:p>
    <w:p>
      <w:pPr>
        <w:pStyle w:val="Heading2"/>
      </w:pPr>
      <w:r>
        <w:t>7.6  Registration, Outbox und Historie</w:t>
      </w:r>
    </w:p>
    <w:p>
      <w:pPr>
        <w:pStyle w:val="ListBullet"/>
      </w:pPr>
      <w:r>
        <w:rPr>
          <w:rFonts w:ascii="Calibri" w:hAnsi="Calibri" w:eastAsia="Calibri"/>
          <w:color w:val="17202A"/>
          <w:sz w:val="22"/>
        </w:rPr>
        <w:tab/>
        <w:t>Registration verifiziert die serverseitige Bereitschaft mit bestehender Geräteauthentisierung und führt keine Create-/Update-Operation aus.</w:t>
      </w:r>
    </w:p>
    <w:p>
      <w:pPr>
        <w:pStyle w:val="ListBullet"/>
      </w:pPr>
      <w:r>
        <w:rPr>
          <w:rFonts w:ascii="Calibri" w:hAnsi="Calibri" w:eastAsia="Calibri"/>
          <w:color w:val="17202A"/>
          <w:sz w:val="22"/>
        </w:rPr>
        <w:tab/>
        <w:t>DataHub/Outbox wird im Dashboard read-only dargestellt; automatische, idempotente Retry-Logik bleibt Backendaufgabe.</w:t>
      </w:r>
    </w:p>
    <w:p>
      <w:pPr>
        <w:pStyle w:val="ListBullet"/>
      </w:pPr>
      <w:r>
        <w:rPr>
          <w:rFonts w:ascii="Calibri" w:hAnsi="Calibri" w:eastAsia="Calibri"/>
          <w:color w:val="17202A"/>
          <w:sz w:val="22"/>
        </w:rPr>
        <w:tab/>
        <w:t>Manual Review wählt nur den ältesten offenen Backendkandidaten, liest dessen PNG ohne Symlinkfolge/Traversal, zeigt ein begrenztes JPEG auf einer eigenen LVGL-Seite und akzeptiert erst nach visueller Bestätigung atomar genau einmal.</w:t>
      </w:r>
    </w:p>
    <w:p>
      <w:pPr>
        <w:pStyle w:val="ListBullet"/>
      </w:pPr>
      <w:r>
        <w:rPr>
          <w:rFonts w:ascii="Calibri" w:hAnsi="Calibri" w:eastAsia="Calibri"/>
          <w:color w:val="17202A"/>
          <w:sz w:val="22"/>
        </w:rPr>
        <w:tab/>
        <w:t>Identity-Kamerascanner und History-Export sind noch nicht als bounded Kioskaktionen provisioniert; ihre Statusflächen bleiben fail-closed.</w:t>
      </w:r>
    </w:p>
    <w:p>
      <w:pPr>
        <w:pStyle w:val="Heading1"/>
      </w:pPr>
      <w:r>
        <w:t>8  Sicherheit und Bewegungsfreigabe</w:t>
      </w:r>
    </w:p>
    <w:p>
      <w:pPr>
        <w:pStyle w:val="CalloutDanger"/>
      </w:pPr>
      <w:r>
        <w:rPr>
          <w:rFonts w:ascii="Calibri" w:hAnsi="Calibri" w:eastAsia="Calibri"/>
          <w:b/>
          <w:color w:val="9B1C1C"/>
          <w:sz w:val="21"/>
        </w:rPr>
        <w:t xml:space="preserve">Lebensgefahr: </w:t>
      </w:r>
      <w:r>
        <w:rPr>
          <w:rFonts w:ascii="Calibri" w:hAnsi="Calibri" w:eastAsia="Calibri"/>
          <w:color w:val="9B1C1C"/>
          <w:sz w:val="21"/>
        </w:rPr>
        <w:t>Der Roboter kann trotz scheinbarem Stillstand auf ein Signal warten. Arbeitsraum räumen, physischen E-Stop erreichbar halten und niemals Softwareanzeigen als alleinigen Personenschutz verwenden.</w:t>
      </w:r>
    </w:p>
    <w:p>
      <w:pPr>
        <w:pStyle w:val="Heading2"/>
      </w:pPr>
      <w:r>
        <w:t>8.1  Herstelleranforderungen</w:t>
      </w:r>
    </w:p>
    <w:p>
      <w:pPr>
        <w:pStyle w:val="ListBullet"/>
      </w:pPr>
      <w:r>
        <w:rPr>
          <w:rFonts w:ascii="Calibri" w:hAnsi="Calibri" w:eastAsia="Calibri"/>
          <w:color w:val="17202A"/>
          <w:sz w:val="22"/>
        </w:rPr>
        <w:tab/>
        <w:t>Integrator erstellt und dokumentiert eine vollständige Risikobeurteilung für Roboter, Werkzeug, Umgebung, Schutzgeräte und verbundene Maschinen.</w:t>
      </w:r>
    </w:p>
    <w:p>
      <w:pPr>
        <w:pStyle w:val="ListBullet"/>
      </w:pPr>
      <w:r>
        <w:rPr>
          <w:rFonts w:ascii="Calibri" w:hAnsi="Calibri" w:eastAsia="Calibri"/>
          <w:color w:val="17202A"/>
          <w:sz w:val="22"/>
        </w:rPr>
        <w:tab/>
        <w:t>Vor jeder Nutzung Integrität, Befestigungen, Stromkreise und Schutzsysteme prüfen; Personal schulen.</w:t>
      </w:r>
    </w:p>
    <w:p>
      <w:pPr>
        <w:pStyle w:val="ListBullet"/>
      </w:pPr>
      <w:r>
        <w:rPr>
          <w:rFonts w:ascii="Calibri" w:hAnsi="Calibri" w:eastAsia="Calibri"/>
          <w:color w:val="17202A"/>
          <w:sz w:val="22"/>
        </w:rPr>
        <w:tab/>
        <w:t>Arbeitsbereich markieren und frei halten; Controller/E-Stop außerhalb des Bewegungsbereichs platzieren.</w:t>
      </w:r>
    </w:p>
    <w:p>
      <w:pPr>
        <w:pStyle w:val="ListBullet"/>
      </w:pPr>
      <w:r>
        <w:rPr>
          <w:rFonts w:ascii="Calibri" w:hAnsi="Calibri" w:eastAsia="Calibri"/>
          <w:color w:val="17202A"/>
          <w:sz w:val="22"/>
        </w:rPr>
        <w:tab/>
        <w:t>Nach Not-Halt: mechanisch entriegeln/Versorgung herstellen, dann Servo/Motion nur gemäß Hersteller- und Standortverfahren freigeben. Die AINA-UI führt keinen automatischen Reset aus.</w:t>
      </w:r>
    </w:p>
    <w:p>
      <w:pPr>
        <w:pStyle w:val="ListBullet"/>
      </w:pPr>
      <w:r>
        <w:rPr>
          <w:rFonts w:ascii="Calibri" w:hAnsi="Calibri" w:eastAsia="Calibri"/>
          <w:color w:val="17202A"/>
          <w:sz w:val="22"/>
        </w:rPr>
        <w:tab/>
        <w:t>Hersteller beschreibt Emergency Stop als Stop Category 1 und Safeguard Stop als Category 2; standortspezifische Schaltung und Validierung bleiben Integratoraufgabe.</w:t>
      </w:r>
    </w:p>
    <w:p>
      <w:pPr>
        <w:pStyle w:val="Heading2"/>
      </w:pPr>
      <w:r>
        <w:t>8.2  AINA Safety Gates</w:t>
      </w:r>
    </w:p>
    <w:tbl>
      <w:tblPr>
        <w:tblStyle w:val="TableGrid"/>
        <w:jc w:val="left"/>
        <w:tblLook w:firstColumn="1" w:firstRow="1" w:lastColumn="0" w:lastRow="0" w:noHBand="0" w:noVBand="1" w:val="04A0"/>
        <w:tblW w:w="9360" w:type="dxa"/>
        <w:tblInd w:w="120" w:type="dxa"/>
        <w:tblLayout w:type="fixed"/>
      </w:tblPr>
      <w:tblGrid>
        <w:gridCol w:w="1700"/>
        <w:gridCol w:w="4700"/>
        <w:gridCol w:w="2960"/>
      </w:tblGrid>
      <w:tr>
        <w:trPr>
          <w:tblHeader w:val="true"/>
        </w:trPr>
        <w:tc>
          <w:tcPr>
            <w:shd w:fill="E8EEF5"/>
            <w:vAlign w:val="center"/>
            <w:tcW w:w="1700" w:type="dxa"/>
            <w:tcMar>
              <w:top w:w="80" w:type="dxa"/>
              <w:bottom w:w="80" w:type="dxa"/>
              <w:start w:w="120" w:type="dxa"/>
              <w:end w:w="120" w:type="dxa"/>
            </w:tcMar>
          </w:tcPr>
          <w:p>
            <w:pPr>
              <w:spacing w:before="20" w:after="20"/>
              <w:jc w:val="center"/>
            </w:pPr>
            <w:r>
              <w:rPr>
                <w:rFonts w:ascii="Calibri" w:hAnsi="Calibri" w:eastAsia="Calibri"/>
                <w:b/>
                <w:color w:val="203748"/>
                <w:sz w:val="16"/>
              </w:rPr>
              <w:t>Gate</w:t>
            </w:r>
          </w:p>
        </w:tc>
        <w:tc>
          <w:tcPr>
            <w:shd w:fill="E8EEF5"/>
            <w:vAlign w:val="center"/>
            <w:tcW w:w="4700" w:type="dxa"/>
            <w:tcMar>
              <w:top w:w="80" w:type="dxa"/>
              <w:bottom w:w="80" w:type="dxa"/>
              <w:start w:w="120" w:type="dxa"/>
              <w:end w:w="120" w:type="dxa"/>
            </w:tcMar>
          </w:tcPr>
          <w:p>
            <w:pPr>
              <w:spacing w:before="20" w:after="20"/>
              <w:jc w:val="center"/>
            </w:pPr>
            <w:r>
              <w:rPr>
                <w:rFonts w:ascii="Calibri" w:hAnsi="Calibri" w:eastAsia="Calibri"/>
                <w:b/>
                <w:color w:val="203748"/>
                <w:sz w:val="16"/>
              </w:rPr>
              <w:t>Nachweis</w:t>
            </w:r>
          </w:p>
        </w:tc>
        <w:tc>
          <w:tcPr>
            <w:shd w:fill="E8EEF5"/>
            <w:vAlign w:val="center"/>
            <w:tcW w:w="2960" w:type="dxa"/>
            <w:tcMar>
              <w:top w:w="80" w:type="dxa"/>
              <w:bottom w:w="80" w:type="dxa"/>
              <w:start w:w="120" w:type="dxa"/>
              <w:end w:w="120" w:type="dxa"/>
            </w:tcMar>
          </w:tcPr>
          <w:p>
            <w:pPr>
              <w:spacing w:before="20" w:after="20"/>
              <w:jc w:val="center"/>
            </w:pPr>
            <w:r>
              <w:rPr>
                <w:rFonts w:ascii="Calibri" w:hAnsi="Calibri" w:eastAsia="Calibri"/>
                <w:b/>
                <w:color w:val="203748"/>
                <w:sz w:val="16"/>
              </w:rPr>
              <w:t>Fehlerreaktion</w:t>
            </w:r>
          </w:p>
        </w:tc>
      </w:tr>
      <w:tr>
        <w:trPr>
          <w:cantSplit/>
        </w:trPr>
        <w:tc>
          <w:tcPr>
            <w:vAlign w:val="center"/>
            <w:tcW w:w="17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Controlleridentität</w:t>
            </w:r>
          </w:p>
        </w:tc>
        <w:tc>
          <w:tcPr>
            <w:vAlign w:val="center"/>
            <w:tcW w:w="47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Lite6; Axis 6; Device Type 9; Seriennummer/Firmware exakt</w:t>
            </w:r>
          </w:p>
        </w:tc>
        <w:tc>
          <w:tcPr>
            <w:vAlign w:val="center"/>
            <w:tcW w:w="29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Motion locked</w:t>
            </w:r>
          </w:p>
        </w:tc>
      </w:tr>
      <w:tr>
        <w:trPr>
          <w:cantSplit/>
        </w:trPr>
        <w:tc>
          <w:tcPr>
            <w:vAlign w:val="center"/>
            <w:tcW w:w="17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Controllerzustand</w:t>
            </w:r>
          </w:p>
        </w:tc>
        <w:tc>
          <w:tcPr>
            <w:vAlign w:val="center"/>
            <w:tcW w:w="47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Connected, healthy, fresh, stationär, Error/Warning 0</w:t>
            </w:r>
          </w:p>
        </w:tc>
        <w:tc>
          <w:tcPr>
            <w:vAlign w:val="center"/>
            <w:tcW w:w="29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Autorisierung verwerfen</w:t>
            </w:r>
          </w:p>
        </w:tc>
      </w:tr>
      <w:tr>
        <w:trPr>
          <w:cantSplit/>
        </w:trPr>
        <w:tc>
          <w:tcPr>
            <w:vAlign w:val="center"/>
            <w:tcW w:w="17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Reduced Safety</w:t>
            </w:r>
          </w:p>
        </w:tc>
        <w:tc>
          <w:tcPr>
            <w:vAlign w:val="center"/>
            <w:tcW w:w="47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Reduced Mode + TCP Boundary, Jointbereiche, Geschwindigkeiten; Collision Rebound aus; Readback exakt</w:t>
            </w:r>
          </w:p>
        </w:tc>
        <w:tc>
          <w:tcPr>
            <w:vAlign w:val="center"/>
            <w:tcW w:w="29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State 4 + Motor disable anfordern</w:t>
            </w:r>
          </w:p>
        </w:tc>
      </w:tr>
      <w:tr>
        <w:trPr>
          <w:cantSplit/>
        </w:trPr>
        <w:tc>
          <w:tcPr>
            <w:vAlign w:val="center"/>
            <w:tcW w:w="17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Artefakte</w:t>
            </w:r>
          </w:p>
        </w:tc>
        <w:tc>
          <w:tcPr>
            <w:vAlign w:val="center"/>
            <w:tcW w:w="47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root-owned Regular Files, kein Symlink, SHA-256 exakt</w:t>
            </w:r>
          </w:p>
        </w:tc>
        <w:tc>
          <w:tcPr>
            <w:vAlign w:val="center"/>
            <w:tcW w:w="29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Startup/Action fail-closed</w:t>
            </w:r>
          </w:p>
        </w:tc>
      </w:tr>
      <w:tr>
        <w:trPr>
          <w:cantSplit/>
        </w:trPr>
        <w:tc>
          <w:tcPr>
            <w:vAlign w:val="center"/>
            <w:tcW w:w="17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Kameras</w:t>
            </w:r>
          </w:p>
        </w:tc>
        <w:tc>
          <w:tcPr>
            <w:vAlign w:val="center"/>
            <w:tcW w:w="47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Zwei unterschiedliche MXIDs, Rollenbindung, frisch</w:t>
            </w:r>
          </w:p>
        </w:tc>
        <w:tc>
          <w:tcPr>
            <w:vAlign w:val="center"/>
            <w:tcW w:w="29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Kein Ziel/kein Capture</w:t>
            </w:r>
          </w:p>
        </w:tc>
      </w:tr>
      <w:tr>
        <w:trPr>
          <w:cantSplit/>
        </w:trPr>
        <w:tc>
          <w:tcPr>
            <w:vAlign w:val="center"/>
            <w:tcW w:w="17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Kalibrierung</w:t>
            </w:r>
          </w:p>
        </w:tc>
        <w:tc>
          <w:tcPr>
            <w:vAlign w:val="center"/>
            <w:tcW w:w="47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Intrinsics + tool_T_camera, synchronisierte Tiefe/Pose, Workspace</w:t>
            </w:r>
          </w:p>
        </w:tc>
        <w:tc>
          <w:tcPr>
            <w:vAlign w:val="center"/>
            <w:tcW w:w="29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Target rejected</w:t>
            </w:r>
          </w:p>
        </w:tc>
      </w:tr>
      <w:tr>
        <w:trPr>
          <w:cantSplit/>
        </w:trPr>
        <w:tc>
          <w:tcPr>
            <w:vAlign w:val="center"/>
            <w:tcW w:w="17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Motion Primitive</w:t>
            </w:r>
          </w:p>
        </w:tc>
        <w:tc>
          <w:tcPr>
            <w:vAlign w:val="center"/>
            <w:tcW w:w="47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6-Achsen, Einheiten, Joint-/Workspace-/Derivative-Gates, kein ungeprüfter Gripper</w:t>
            </w:r>
          </w:p>
        </w:tc>
        <w:tc>
          <w:tcPr>
            <w:vAlign w:val="center"/>
            <w:tcW w:w="29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Plan rejected</w:t>
            </w:r>
          </w:p>
        </w:tc>
      </w:tr>
      <w:tr>
        <w:trPr>
          <w:cantSplit/>
        </w:trPr>
        <w:tc>
          <w:tcPr>
            <w:vAlign w:val="center"/>
            <w:tcW w:w="17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Operator</w:t>
            </w:r>
          </w:p>
        </w:tc>
        <w:tc>
          <w:tcPr>
            <w:vAlign w:val="center"/>
            <w:tcW w:w="47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Kurze Challenge + zweiter Tap; Workcell clear</w:t>
            </w:r>
          </w:p>
        </w:tc>
        <w:tc>
          <w:tcPr>
            <w:vAlign w:val="center"/>
            <w:tcW w:w="29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Challenge läuft ab</w:t>
            </w:r>
          </w:p>
        </w:tc>
      </w:tr>
      <w:tr>
        <w:trPr>
          <w:cantSplit/>
        </w:trPr>
        <w:tc>
          <w:tcPr>
            <w:vAlign w:val="center"/>
            <w:tcW w:w="17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STOP Generation</w:t>
            </w:r>
          </w:p>
        </w:tc>
        <w:tc>
          <w:tcPr>
            <w:vAlign w:val="center"/>
            <w:tcW w:w="47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Keine STOP-/Konfigurationsänderung seit Admission</w:t>
            </w:r>
          </w:p>
        </w:tc>
        <w:tc>
          <w:tcPr>
            <w:vAlign w:val="center"/>
            <w:tcW w:w="29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Sofort lock/stop</w:t>
            </w:r>
          </w:p>
        </w:tc>
      </w:tr>
      <w:tr>
        <w:trPr>
          <w:cantSplit/>
        </w:trPr>
        <w:tc>
          <w:tcPr>
            <w:vAlign w:val="center"/>
            <w:tcW w:w="17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Formale Bewegungsfreigabe</w:t>
            </w:r>
          </w:p>
        </w:tc>
        <w:tc>
          <w:tcPr>
            <w:vAlign w:val="center"/>
            <w:tcW w:w="47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Drei unabhängige Rollen; exakte Hardware-, Software-, Artefakt- und Testbindung; Gültigkeit und Widerruf</w:t>
            </w:r>
          </w:p>
        </w:tc>
        <w:tc>
          <w:tcPr>
            <w:vAlign w:val="center"/>
            <w:tcW w:w="29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Kein Motion-Permit</w:t>
            </w:r>
          </w:p>
        </w:tc>
      </w:tr>
    </w:tbl>
    <w:p>
      <w:pPr>
        <w:spacing w:before="80" w:after="80"/>
      </w:pPr>
    </w:p>
    <w:p>
      <w:pPr>
        <w:pStyle w:val="Heading2"/>
      </w:pPr>
      <w:r>
        <w:t>8.3  Safety Boundary Configurator</w:t>
      </w:r>
    </w:p>
    <w:p>
      <w:pPr>
        <w:pStyle w:val="ListNumber"/>
        <w:numPr>
          <w:ilvl w:val="0"/>
          <w:numId w:val="12"/>
        </w:numPr>
      </w:pPr>
      <w:r>
        <w:rPr>
          <w:rFonts w:ascii="Calibri" w:hAnsi="Calibri" w:eastAsia="Calibri"/>
          <w:color w:val="17202A"/>
          <w:sz w:val="22"/>
        </w:rPr>
        <w:t>Standortspezifisches Profil unabhängig erstellen, prüfen, root-owned unter /etc/labcobot installieren und exakten SHA-256 pinnen.</w:t>
      </w:r>
    </w:p>
    <w:p>
      <w:pPr>
        <w:pStyle w:val="ListNumber"/>
        <w:numPr>
          <w:ilvl w:val="0"/>
          <w:numId w:val="12"/>
        </w:numPr>
      </w:pPr>
      <w:r>
        <w:rPr>
          <w:rFonts w:ascii="Calibri" w:hAnsi="Calibri" w:eastAsia="Calibri"/>
          <w:color w:val="17202A"/>
          <w:sz w:val="22"/>
        </w:rPr>
        <w:t>Bei State 4, Mode 0, stationärem Arm, disabled motors und engaged brakes ersten UI-Tap für read-only Preflight ausführen.</w:t>
      </w:r>
    </w:p>
    <w:p>
      <w:pPr>
        <w:pStyle w:val="ListNumber"/>
        <w:numPr>
          <w:ilvl w:val="0"/>
          <w:numId w:val="12"/>
        </w:numPr>
      </w:pPr>
      <w:r>
        <w:rPr>
          <w:rFonts w:ascii="Calibri" w:hAnsi="Calibri" w:eastAsia="Calibri"/>
          <w:color w:val="17202A"/>
          <w:sz w:val="22"/>
        </w:rPr>
        <w:t>Digest, TCP-Bounds, Speed/Jointsummary, Serien-/Firmware-/Offset-/Payloadbindung prüfen.</w:t>
      </w:r>
    </w:p>
    <w:p>
      <w:pPr>
        <w:pStyle w:val="ListNumber"/>
        <w:numPr>
          <w:ilvl w:val="0"/>
          <w:numId w:val="12"/>
        </w:numPr>
      </w:pPr>
      <w:r>
        <w:rPr>
          <w:rFonts w:ascii="Calibri" w:hAnsi="Calibri" w:eastAsia="Calibri"/>
          <w:color w:val="17202A"/>
          <w:sz w:val="22"/>
        </w:rPr>
        <w:t>Zweiten Tap innerhalb fünf Sekunden ausführen. Backend wendet exakt Boundary, Speeds, Jointbereiche, Fence, Rebound-off und Reduced Mode zuletzt an.</w:t>
      </w:r>
    </w:p>
    <w:p>
      <w:pPr>
        <w:pStyle w:val="ListNumber"/>
        <w:numPr>
          <w:ilvl w:val="0"/>
          <w:numId w:val="12"/>
        </w:numPr>
      </w:pPr>
      <w:r>
        <w:rPr>
          <w:rFonts w:ascii="Calibri" w:hAnsi="Calibri" w:eastAsia="Calibri"/>
          <w:color w:val="17202A"/>
          <w:sz w:val="22"/>
        </w:rPr>
        <w:t>Exakten Readback prüfen. Jeder Unterschied sperrt Motion und fordert State 4/Motor disable.</w:t>
      </w:r>
    </w:p>
    <w:p>
      <w:pPr>
        <w:pStyle w:val="CalloutWarning"/>
      </w:pPr>
      <w:r>
        <w:rPr>
          <w:rFonts w:ascii="Calibri" w:hAnsi="Calibri" w:eastAsia="Calibri"/>
          <w:b/>
          <w:color w:val="7A5A00"/>
          <w:sz w:val="21"/>
        </w:rPr>
        <w:t xml:space="preserve">Nicht enthalten: </w:t>
      </w:r>
      <w:r>
        <w:rPr>
          <w:rFonts w:ascii="Calibri" w:hAnsi="Calibri" w:eastAsia="Calibri"/>
          <w:color w:val="7A5A00"/>
          <w:sz w:val="21"/>
        </w:rPr>
        <w:t>Der Cartesian TCP-Boundary modelliert nicht Link-Swept-Volume, Toolkörper, Kabel, Last oder Personen. Guarding, Clearance-Analyse und physische Schutzkette bleiben zwingend.</w:t>
      </w:r>
    </w:p>
    <w:p>
      <w:pPr>
        <w:pStyle w:val="Heading2"/>
      </w:pPr>
      <w:r>
        <w:t>8.4  Formale Bewegungsfreigabe und Vertrauensanker</w:t>
      </w:r>
    </w:p>
    <w:p>
      <w:pPr>
        <w:spacing w:before="0" w:after="120"/>
      </w:pPr>
      <w:r>
        <w:rPr>
          <w:rFonts w:ascii="Calibri" w:hAnsi="Calibri" w:eastAsia="Calibri"/>
          <w:b w:val="0"/>
          <w:i w:val="0"/>
          <w:color w:val="17202A"/>
          <w:sz w:val="22"/>
        </w:rPr>
        <w:t>Ein Handbuchtext, ein grünes UI-Feld oder ein unterschriebenes Papier ohne maschinenlesbare Bindung darf keine Motorfreigabe erzeugen. Eine künftige Freigabe wird als kanonisches labcobot.motion-release-receipt.v1 geführt; sie ist eine notwendige Evidence-Akte, aber allein noch kein Bewegungsbefehl.</w:t>
      </w:r>
    </w:p>
    <w:p>
      <w:pPr>
        <w:pStyle w:val="ListBullet"/>
      </w:pPr>
      <w:r>
        <w:rPr>
          <w:rFonts w:ascii="Calibri" w:hAnsi="Calibri" w:eastAsia="Calibri"/>
          <w:color w:val="17202A"/>
          <w:sz w:val="22"/>
        </w:rPr>
        <w:tab/>
        <w:t>Release-ID, Entscheidung, ausschließlich zulässige Action dynamic_valve_search, Zielmodus operator|production und streng begrenzte Anzahl autorisierter Actions.</w:t>
      </w:r>
    </w:p>
    <w:p>
      <w:pPr>
        <w:pStyle w:val="ListBullet"/>
      </w:pPr>
      <w:r>
        <w:rPr>
          <w:rFonts w:ascii="Calibri" w:hAnsi="Calibri" w:eastAsia="Calibri"/>
          <w:color w:val="17202A"/>
          <w:sz w:val="22"/>
        </w:rPr>
        <w:tab/>
        <w:t>Lite6-Modell, Controller-Seriennummer, Achsen-/Gerätetyp, Firmware und SDK sowie Rollen, MXIDs und Auflösung beider OAK-Kameras.</w:t>
      </w:r>
    </w:p>
    <w:p>
      <w:pPr>
        <w:pStyle w:val="ListBullet"/>
      </w:pPr>
      <w:r>
        <w:rPr>
          <w:rFonts w:ascii="Calibri" w:hAnsi="Calibri" w:eastAsia="Calibri"/>
          <w:color w:val="17202A"/>
          <w:sz w:val="22"/>
        </w:rPr>
        <w:tab/>
        <w:t>Gemessene Digests der tatsächlich installierten Backend-, LVGL-, Service-/Konfigurations- und Abhängigkeitsbytes.</w:t>
      </w:r>
    </w:p>
    <w:p>
      <w:pPr>
        <w:pStyle w:val="ListBullet"/>
      </w:pPr>
      <w:r>
        <w:rPr>
          <w:rFonts w:ascii="Calibri" w:hAnsi="Calibri" w:eastAsia="Calibri"/>
          <w:color w:val="17202A"/>
          <w:sz w:val="22"/>
        </w:rPr>
        <w:tab/>
        <w:t>Digests von Safety-Profil samt exaktem Readback, Eye-in-Hand-Kalibrierung, Motion Primitive, Zielmodell und Manifest beziehungsweise geprüftem Remote-Owner.</w:t>
      </w:r>
    </w:p>
    <w:p>
      <w:pPr>
        <w:pStyle w:val="ListBullet"/>
      </w:pPr>
      <w:r>
        <w:rPr>
          <w:rFonts w:ascii="Calibri" w:hAnsi="Calibri" w:eastAsia="Calibri"/>
          <w:color w:val="17202A"/>
          <w:sz w:val="22"/>
        </w:rPr>
        <w:tab/>
        <w:t>Digests von Risikobeurteilung, Guarding-/Schutzkettenprüfung, physischem Not-Halt-/Safety-I/O-Test sowie positiven und negativen Abnahmetests.</w:t>
      </w:r>
    </w:p>
    <w:p>
      <w:pPr>
        <w:pStyle w:val="ListBullet"/>
      </w:pPr>
      <w:r>
        <w:rPr>
          <w:rFonts w:ascii="Calibri" w:hAnsi="Calibri" w:eastAsia="Calibri"/>
          <w:color w:val="17202A"/>
          <w:sz w:val="22"/>
        </w:rPr>
        <w:tab/>
        <w:t>valid_from, valid_until, Widerrufs- und Trust-Policy-Epoch sowie drei voneinander unabhängige Ed25519-Signaturen der Rollen Integrator, unabhängige Safety-Prüfung und Anlagen-/Bedienerverantwortung.</w:t>
      </w:r>
    </w:p>
    <w:p>
      <w:pPr>
        <w:spacing w:before="0" w:after="120"/>
      </w:pPr>
      <w:r>
        <w:rPr>
          <w:rFonts w:ascii="Calibri" w:hAnsi="Calibri" w:eastAsia="Calibri"/>
          <w:b w:val="0"/>
          <w:i w:val="0"/>
          <w:color w:val="17202A"/>
          <w:sz w:val="22"/>
        </w:rPr>
        <w:t>Private Signaturschlüssel gehören nicht auf den Raspberry Pi. Der Runtimepfad darf nur root-owned öffentliche Trustanker und die signierte Akte lesen. Eine Challenge muss Receipt-, Trust-, Live-State-, Boot-, STOP- und Authorization-Fingerprints binden. Erst unter derselben Dispatch-Sperre darf ein aktionsspezifischer, einmaliger und dauerhaft verbrauchter Permit geprüft werden. Search- und Capture-Permits sind unterschiedliche Typen; ein Search-Receipt darf Capture nicht freigeben.</w:t>
      </w:r>
    </w:p>
    <w:p>
      <w:pPr>
        <w:pStyle w:val="CalloutDanger"/>
      </w:pPr>
      <w:r>
        <w:rPr>
          <w:rFonts w:ascii="Calibri" w:hAnsi="Calibri" w:eastAsia="Calibri"/>
          <w:b/>
          <w:color w:val="9B1C1C"/>
          <w:sz w:val="21"/>
        </w:rPr>
        <w:t xml:space="preserve">Offene P0-Vertrauensgrenze: </w:t>
      </w:r>
      <w:r>
        <w:rPr>
          <w:rFonts w:ascii="Calibri" w:hAnsi="Calibri" w:eastAsia="Calibri"/>
          <w:color w:val="9B1C1C"/>
          <w:sz w:val="21"/>
        </w:rPr>
        <w:t>Der aktuelle Pi-Dienst besitzt App-Baum und virtuelle Umgebung selbst; außerdem liegt der symmetrische OTA-HMAC-Schlüssel im Roboterdienst. Vor jeder Runtime-Bewegungsfreigabe müssen App, Venv, Trustanker und Installationsmanifest root-owned, für den Roboterdienst read-only und damit aus dessen Sicht unveränderlich sein. Installation und OTA gehören in einen getrennten, minimal privilegierten Updater, der ausschließlich asymmetrisch signierte Publisher-Manifeste verifiziert. Bis dieser Umbau, die typisierte Permit-Grenze und die reale Standortevidenz vollständig geprüft sind, meldet die Runtime motion.release_valid=false und motion.release_gate=motion_release_incomplete; Search und Capture bleiben gesperrt.</w:t>
      </w:r>
    </w:p>
    <w:p>
      <w:pPr>
        <w:pStyle w:val="Heading1"/>
      </w:pPr>
      <w:r>
        <w:t>9  Betrieb und Bedienverfahren</w:t>
      </w:r>
    </w:p>
    <w:p>
      <w:pPr>
        <w:pStyle w:val="Heading2"/>
      </w:pPr>
      <w:r>
        <w:t>9.1  Tägliche Startprüfung (Gateway)</w:t>
      </w:r>
    </w:p>
    <w:p>
      <w:pPr>
        <w:pStyle w:val="ListNumber"/>
        <w:numPr>
          <w:ilvl w:val="0"/>
          <w:numId w:val="13"/>
        </w:numPr>
      </w:pPr>
      <w:r>
        <w:rPr>
          <w:rFonts w:ascii="Calibri" w:hAnsi="Calibri" w:eastAsia="Calibri"/>
          <w:color w:val="17202A"/>
          <w:sz w:val="22"/>
        </w:rPr>
        <w:t>Mechanische Befestigung, Verkabelung, E-Stop und freien Arbeitsraum visuell prüfen; keine Bewegung anfordern.</w:t>
      </w:r>
    </w:p>
    <w:p>
      <w:pPr>
        <w:pStyle w:val="ListNumber"/>
        <w:numPr>
          <w:ilvl w:val="0"/>
          <w:numId w:val="13"/>
        </w:numPr>
      </w:pPr>
      <w:r>
        <w:rPr>
          <w:rFonts w:ascii="Calibri" w:hAnsi="Calibri" w:eastAsia="Calibri"/>
          <w:color w:val="17202A"/>
          <w:sz w:val="22"/>
        </w:rPr>
        <w:t>Display prüfen: sechs Tasten sichtbar, Touch reagiert, keine Desktopoberfläche.</w:t>
      </w:r>
    </w:p>
    <w:p>
      <w:pPr>
        <w:pStyle w:val="ListNumber"/>
        <w:numPr>
          <w:ilvl w:val="0"/>
          <w:numId w:val="13"/>
        </w:numPr>
      </w:pPr>
      <w:r>
        <w:rPr>
          <w:rFonts w:ascii="Calibri" w:hAnsi="Calibri" w:eastAsia="Calibri"/>
          <w:color w:val="17202A"/>
          <w:sz w:val="22"/>
        </w:rPr>
        <w:t>Taste 06 öffnen: Gateway ready, beide Kameras live/fresh, xArm connected/fresh, Error/Warning 0.</w:t>
      </w:r>
    </w:p>
    <w:p>
      <w:pPr>
        <w:pStyle w:val="ListNumber"/>
        <w:numPr>
          <w:ilvl w:val="0"/>
          <w:numId w:val="13"/>
        </w:numPr>
      </w:pPr>
      <w:r>
        <w:rPr>
          <w:rFonts w:ascii="Calibri" w:hAnsi="Calibri" w:eastAsia="Calibri"/>
          <w:color w:val="17202A"/>
          <w:sz w:val="22"/>
        </w:rPr>
        <w:t>Taste 01 und 02 öffnen: Rollen und Sichtfelder plausibel, keine Vertauschung, keine Blind-/Verdeckungszone für den vorgesehenen Monitorbetrieb.</w:t>
      </w:r>
    </w:p>
    <w:p>
      <w:pPr>
        <w:pStyle w:val="ListNumber"/>
        <w:numPr>
          <w:ilvl w:val="0"/>
          <w:numId w:val="13"/>
        </w:numPr>
      </w:pPr>
      <w:r>
        <w:rPr>
          <w:rFonts w:ascii="Calibri" w:hAnsi="Calibri" w:eastAsia="Calibri"/>
          <w:color w:val="17202A"/>
          <w:sz w:val="22"/>
        </w:rPr>
        <w:t>Bei Attention Required, stale, disconnected oder unbekanntem Status nicht weiterfahren; Diagnose Kapitel 14.</w:t>
      </w:r>
    </w:p>
    <w:p>
      <w:pPr>
        <w:pStyle w:val="Heading2"/>
      </w:pPr>
      <w:r>
        <w:t>9.2  SOFTWARE STOP</w:t>
      </w:r>
    </w:p>
    <w:p>
      <w:pPr>
        <w:spacing w:before="0" w:after="120"/>
      </w:pPr>
      <w:r>
        <w:rPr>
          <w:rFonts w:ascii="Calibri" w:hAnsi="Calibri" w:eastAsia="Calibri"/>
          <w:b w:val="0"/>
          <w:i w:val="0"/>
          <w:color w:val="17202A"/>
          <w:sz w:val="22"/>
        </w:rPr>
        <w:t>SOFTWARE STOP schließt ausstehende Challenges, fordert Controller State 4 und Motor disable und stoppt aktive AINA-Owner. Er ist idempotent und soll bei unklarer UI-Lage erneut gedrückt werden. Bei Gefahr oder unerwarteter Bewegung immer den physischen E-Stop drücken.</w:t>
      </w:r>
    </w:p>
    <w:p>
      <w:pPr>
        <w:pStyle w:val="Heading2"/>
      </w:pPr>
      <w:r>
        <w:t>9.3  Geregeltes Herunterfahren</w:t>
      </w:r>
    </w:p>
    <w:p>
      <w:pPr>
        <w:pStyle w:val="ListNumber"/>
        <w:numPr>
          <w:ilvl w:val="0"/>
          <w:numId w:val="14"/>
        </w:numPr>
      </w:pPr>
      <w:r>
        <w:rPr>
          <w:rFonts w:ascii="Calibri" w:hAnsi="Calibri" w:eastAsia="Calibri"/>
          <w:color w:val="17202A"/>
          <w:sz w:val="22"/>
        </w:rPr>
        <w:t>Sicherstellen, dass kein Capture/Update/Motion aktiv ist und Motion LOCKED meldet.</w:t>
      </w:r>
    </w:p>
    <w:p>
      <w:pPr>
        <w:pStyle w:val="ListNumber"/>
        <w:numPr>
          <w:ilvl w:val="0"/>
          <w:numId w:val="14"/>
        </w:numPr>
      </w:pPr>
      <w:r>
        <w:rPr>
          <w:rFonts w:ascii="Calibri" w:hAnsi="Calibri" w:eastAsia="Calibri"/>
          <w:color w:val="17202A"/>
          <w:sz w:val="22"/>
        </w:rPr>
        <w:t>Falls ein Robotikfehler vorliegt, SOFTWARE STOP und standortspezifisches Sicherungsverfahren anwenden.</w:t>
      </w:r>
    </w:p>
    <w:p>
      <w:pPr>
        <w:pStyle w:val="ListNumber"/>
        <w:numPr>
          <w:ilvl w:val="0"/>
          <w:numId w:val="14"/>
        </w:numPr>
      </w:pPr>
      <w:r>
        <w:rPr>
          <w:rFonts w:ascii="Calibri" w:hAnsi="Calibri" w:eastAsia="Calibri"/>
          <w:color w:val="17202A"/>
          <w:sz w:val="22"/>
        </w:rPr>
        <w:t>Backend/LVGL nur durch autorisierte Instandhaltung stoppen; anschließend Lite6 gemäß Herstellerverfahren herunterfahren (E-Stop, Studio System Info Shutdown, Netz trennen).</w:t>
      </w:r>
    </w:p>
    <w:p>
      <w:pPr>
        <w:pStyle w:val="Heading2"/>
      </w:pPr>
      <w:r>
        <w:t>9.4  Verbotene Bedienhandlungen</w:t>
      </w:r>
    </w:p>
    <w:p>
      <w:pPr>
        <w:pStyle w:val="ListBullet"/>
      </w:pPr>
      <w:r>
        <w:rPr>
          <w:rFonts w:ascii="Calibri" w:hAnsi="Calibri" w:eastAsia="Calibri"/>
          <w:color w:val="17202A"/>
          <w:sz w:val="22"/>
        </w:rPr>
        <w:tab/>
        <w:t>Keine Safety-/Error-Anzeige grün fälschen oder Gates durch Environment-Flags umgehen.</w:t>
      </w:r>
    </w:p>
    <w:p>
      <w:pPr>
        <w:pStyle w:val="ListBullet"/>
      </w:pPr>
      <w:r>
        <w:rPr>
          <w:rFonts w:ascii="Calibri" w:hAnsi="Calibri" w:eastAsia="Calibri"/>
          <w:color w:val="17202A"/>
          <w:sz w:val="22"/>
        </w:rPr>
        <w:tab/>
        <w:t>Keine mechanischen Herstellergrenzen als standortspezifisches Safety-Profil übernehmen.</w:t>
      </w:r>
    </w:p>
    <w:p>
      <w:pPr>
        <w:pStyle w:val="ListBullet"/>
      </w:pPr>
      <w:r>
        <w:rPr>
          <w:rFonts w:ascii="Calibri" w:hAnsi="Calibri" w:eastAsia="Calibri"/>
          <w:color w:val="17202A"/>
          <w:sz w:val="22"/>
        </w:rPr>
        <w:tab/>
        <w:t>Keine Rohkoordinaten, generischen Joint/Jog-Befehle oder motor_enable über fremde Skripte senden.</w:t>
      </w:r>
    </w:p>
    <w:p>
      <w:pPr>
        <w:pStyle w:val="ListBullet"/>
      </w:pPr>
      <w:r>
        <w:rPr>
          <w:rFonts w:ascii="Calibri" w:hAnsi="Calibri" w:eastAsia="Calibri"/>
          <w:color w:val="17202A"/>
          <w:sz w:val="22"/>
        </w:rPr>
        <w:tab/>
        <w:t>Keine unsigned OTA-, Remote-Python-Upload- oder Codeexecutor-Komponenten reaktivieren.</w:t>
      </w:r>
    </w:p>
    <w:p>
      <w:pPr>
        <w:pStyle w:val="ListBullet"/>
      </w:pPr>
      <w:r>
        <w:rPr>
          <w:rFonts w:ascii="Calibri" w:hAnsi="Calibri" w:eastAsia="Calibri"/>
          <w:color w:val="17202A"/>
          <w:sz w:val="22"/>
        </w:rPr>
        <w:tab/>
        <w:t>Keine Secrets in Dokumentation, Git, Screenshots, Datasetmanifeste oder Supporttickets kopieren.</w:t>
      </w:r>
    </w:p>
    <w:p>
      <w:pPr>
        <w:pStyle w:val="Heading1"/>
      </w:pPr>
      <w:r>
        <w:t>10  DataHub, Datasets und Outbox</w:t>
      </w:r>
    </w:p>
    <w:p>
      <w:pPr>
        <w:pStyle w:val="Heading2"/>
      </w:pPr>
      <w:r>
        <w:t>10.1  Ereignisvertrag</w:t>
      </w:r>
    </w:p>
    <w:p>
      <w:pPr>
        <w:spacing w:before="0" w:after="120"/>
      </w:pPr>
      <w:r>
        <w:rPr>
          <w:rFonts w:ascii="Calibri" w:hAnsi="Calibri" w:eastAsia="Calibri"/>
          <w:b w:val="0"/>
          <w:i w:val="0"/>
          <w:color w:val="17202A"/>
          <w:sz w:val="22"/>
        </w:rPr>
        <w:t>DataHub verwendet labcobot.timeseries.v1. robot.metrics enthält Zustände/Messwerte; camera.image enthält Kamera-ID, Content Type, Bytezahl, SHA-256 und bounded Base64-JPEG. Jedes Event hat UUID, UTC-Zeit und Idempotency-Key.</w:t>
      </w:r>
    </w:p>
    <w:tbl>
      <w:tblPr>
        <w:tblStyle w:val="TableGrid"/>
        <w:jc w:val="left"/>
        <w:tblLook w:firstColumn="1" w:firstRow="1" w:lastColumn="0" w:lastRow="0" w:noHBand="0" w:noVBand="1" w:val="04A0"/>
        <w:tblW w:w="9360" w:type="dxa"/>
        <w:tblInd w:w="120" w:type="dxa"/>
        <w:tblLayout w:type="fixed"/>
      </w:tblPr>
      <w:tblGrid>
        <w:gridCol w:w="3000"/>
        <w:gridCol w:w="6360"/>
      </w:tblGrid>
      <w:tr>
        <w:trPr>
          <w:tblHeader w:val="true"/>
        </w:trPr>
        <w:tc>
          <w:tcPr>
            <w:shd w:fill="E8EEF5"/>
            <w:vAlign w:val="center"/>
            <w:tcW w:w="3000" w:type="dxa"/>
            <w:tcMar>
              <w:top w:w="80" w:type="dxa"/>
              <w:bottom w:w="80" w:type="dxa"/>
              <w:start w:w="120" w:type="dxa"/>
              <w:end w:w="120" w:type="dxa"/>
            </w:tcMar>
          </w:tcPr>
          <w:p>
            <w:pPr>
              <w:spacing w:before="20" w:after="20"/>
              <w:jc w:val="center"/>
            </w:pPr>
            <w:r>
              <w:rPr>
                <w:rFonts w:ascii="Calibri" w:hAnsi="Calibri" w:eastAsia="Calibri"/>
                <w:b/>
                <w:color w:val="203748"/>
                <w:sz w:val="18"/>
              </w:rPr>
              <w:t>Antwort</w:t>
            </w:r>
          </w:p>
        </w:tc>
        <w:tc>
          <w:tcPr>
            <w:shd w:fill="E8EEF5"/>
            <w:vAlign w:val="center"/>
            <w:tcW w:w="6360" w:type="dxa"/>
            <w:tcMar>
              <w:top w:w="80" w:type="dxa"/>
              <w:bottom w:w="80" w:type="dxa"/>
              <w:start w:w="120" w:type="dxa"/>
              <w:end w:w="120" w:type="dxa"/>
            </w:tcMar>
          </w:tcPr>
          <w:p>
            <w:pPr>
              <w:spacing w:before="20" w:after="20"/>
              <w:jc w:val="center"/>
            </w:pPr>
            <w:r>
              <w:rPr>
                <w:rFonts w:ascii="Calibri" w:hAnsi="Calibri" w:eastAsia="Calibri"/>
                <w:b/>
                <w:color w:val="203748"/>
                <w:sz w:val="18"/>
              </w:rPr>
              <w:t>Outbox-Verhalten</w:t>
            </w:r>
          </w:p>
        </w:tc>
      </w:tr>
      <w:tr>
        <w:trPr>
          <w:cantSplit/>
        </w:trPr>
        <w:tc>
          <w:tcPr>
            <w:vAlign w:val="center"/>
            <w:tcW w:w="30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201 / bestätigtes 2xx</w:t>
            </w:r>
          </w:p>
        </w:tc>
        <w:tc>
          <w:tcPr>
            <w:vAlign w:val="center"/>
            <w:tcW w:w="63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Event löschen; als zugestellt betrachten</w:t>
            </w:r>
          </w:p>
        </w:tc>
      </w:tr>
      <w:tr>
        <w:trPr>
          <w:cantSplit/>
        </w:trPr>
        <w:tc>
          <w:tcPr>
            <w:vAlign w:val="center"/>
            <w:tcW w:w="30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409 duplicate / already_recorded + gleiche Event-ID</w:t>
            </w:r>
          </w:p>
        </w:tc>
        <w:tc>
          <w:tcPr>
            <w:vAlign w:val="center"/>
            <w:tcW w:w="63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Idempotent bestätigt; Event löschen</w:t>
            </w:r>
          </w:p>
        </w:tc>
      </w:tr>
      <w:tr>
        <w:trPr>
          <w:cantSplit/>
        </w:trPr>
        <w:tc>
          <w:tcPr>
            <w:vAlign w:val="center"/>
            <w:tcW w:w="30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408/425/429/5xx/Transport</w:t>
            </w:r>
          </w:p>
        </w:tc>
        <w:tc>
          <w:tcPr>
            <w:vAlign w:val="center"/>
            <w:tcW w:w="63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Lease freigeben, exponentieller Retry</w:t>
            </w:r>
          </w:p>
        </w:tc>
      </w:tr>
      <w:tr>
        <w:trPr>
          <w:cantSplit/>
        </w:trPr>
        <w:tc>
          <w:tcPr>
            <w:vAlign w:val="center"/>
            <w:tcW w:w="30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sonstiges 4xx</w:t>
            </w:r>
          </w:p>
        </w:tc>
        <w:tc>
          <w:tcPr>
            <w:vAlign w:val="center"/>
            <w:tcW w:w="63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Dead Letter; sichtbar in Metrics/Diagnose</w:t>
            </w:r>
          </w:p>
        </w:tc>
      </w:tr>
      <w:tr>
        <w:trPr>
          <w:cantSplit/>
        </w:trPr>
        <w:tc>
          <w:tcPr>
            <w:vAlign w:val="center"/>
            <w:tcW w:w="30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Kapazität erreicht</w:t>
            </w:r>
          </w:p>
        </w:tc>
        <w:tc>
          <w:tcPr>
            <w:vAlign w:val="center"/>
            <w:tcW w:w="63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OutboxCapacityError; keine stille Bildverwerfung</w:t>
            </w:r>
          </w:p>
        </w:tc>
      </w:tr>
    </w:tbl>
    <w:p>
      <w:pPr>
        <w:spacing w:before="80" w:after="80"/>
      </w:pPr>
    </w:p>
    <w:p>
      <w:pPr>
        <w:pStyle w:val="Heading2"/>
      </w:pPr>
      <w:r>
        <w:t>10.2  Bounded Outboxstatus und Quoten</w:t>
      </w:r>
    </w:p>
    <w:p>
      <w:pPr>
        <w:pStyle w:val="ListBullet"/>
      </w:pPr>
      <w:r>
        <w:rPr>
          <w:rFonts w:ascii="Calibri" w:hAnsi="Calibri" w:eastAsia="Calibri"/>
          <w:color w:val="17202A"/>
          <w:sz w:val="22"/>
        </w:rPr>
        <w:tab/>
        <w:t>Status schema_version 1: pending_count, queue_bytes, leased_count, oldest_lease_age_seconds und retry_count.</w:t>
      </w:r>
    </w:p>
    <w:p>
      <w:pPr>
        <w:pStyle w:val="ListBullet"/>
      </w:pPr>
      <w:r>
        <w:rPr>
          <w:rFonts w:ascii="Calibri" w:hAnsi="Calibri" w:eastAsia="Calibri"/>
          <w:color w:val="17202A"/>
          <w:sz w:val="22"/>
        </w:rPr>
        <w:tab/>
        <w:t>Dead-Letter-/Receipt-Evidenz: dead_letter_count, dead_letter_bytes, receipt_count, last_acknowledged_at und last_acknowledgement_age_seconds.</w:t>
      </w:r>
    </w:p>
    <w:p>
      <w:pPr>
        <w:pStyle w:val="ListBullet"/>
      </w:pPr>
      <w:r>
        <w:rPr>
          <w:rFonts w:ascii="Calibri" w:hAnsi="Calibri" w:eastAsia="Calibri"/>
          <w:color w:val="17202A"/>
          <w:sz w:val="22"/>
        </w:rPr>
        <w:tab/>
        <w:t>capacity_ok ist nur wahr, solange Queue-, Byte-, Dead-Letter- und Receiptquoten nicht erreicht sind.</w:t>
      </w:r>
    </w:p>
    <w:p>
      <w:pPr>
        <w:pStyle w:val="ListBullet"/>
      </w:pPr>
      <w:r>
        <w:rPr>
          <w:rFonts w:ascii="Calibri" w:hAnsi="Calibri" w:eastAsia="Calibri"/>
          <w:color w:val="17202A"/>
          <w:sz w:val="22"/>
        </w:rPr>
        <w:tab/>
        <w:t>Bei voller Dead-Letter- oder Receiptquote bleibt das ursprüngliche Event fail-closed in der Queue; keine stille Löschung und keine falsche Zustellbestätigung.</w:t>
      </w:r>
    </w:p>
    <w:p>
      <w:pPr>
        <w:pStyle w:val="Heading2"/>
      </w:pPr>
      <w:r>
        <w:t>10.3  Datasetbindung</w:t>
      </w:r>
    </w:p>
    <w:p>
      <w:pPr>
        <w:pStyle w:val="ListBullet"/>
      </w:pPr>
      <w:r>
        <w:rPr>
          <w:rFonts w:ascii="Calibri" w:hAnsi="Calibri" w:eastAsia="Calibri"/>
          <w:color w:val="17202A"/>
          <w:sz w:val="22"/>
        </w:rPr>
        <w:tab/>
        <w:t>Workcellmodus benötigt numerische, vorprovisionierte ContentContainer/Dataset Asset ID.</w:t>
      </w:r>
    </w:p>
    <w:p>
      <w:pPr>
        <w:pStyle w:val="ListBullet"/>
      </w:pPr>
      <w:r>
        <w:rPr>
          <w:rFonts w:ascii="Calibri" w:hAnsi="Calibri" w:eastAsia="Calibri"/>
          <w:color w:val="17202A"/>
          <w:sz w:val="22"/>
        </w:rPr>
        <w:tab/>
        <w:t>Ein Receipt gilt nur, wenn dataset.asset_id exakt der konfigurierten ID entspricht.</w:t>
      </w:r>
    </w:p>
    <w:p>
      <w:pPr>
        <w:pStyle w:val="ListBullet"/>
      </w:pPr>
      <w:r>
        <w:rPr>
          <w:rFonts w:ascii="Calibri" w:hAnsi="Calibri" w:eastAsia="Calibri"/>
          <w:color w:val="17202A"/>
          <w:sz w:val="22"/>
        </w:rPr>
        <w:tab/>
        <w:t>Capture-JPEGs verwenden den Binärpfad; sie gehören nicht in einen scalar-only OPC-UA-Endpunkt.</w:t>
      </w:r>
    </w:p>
    <w:p>
      <w:pPr>
        <w:pStyle w:val="ListBullet"/>
      </w:pPr>
      <w:r>
        <w:rPr>
          <w:rFonts w:ascii="Calibri" w:hAnsi="Calibri" w:eastAsia="Calibri"/>
          <w:color w:val="17202A"/>
          <w:sz w:val="22"/>
        </w:rPr>
        <w:tab/>
        <w:t>Manifest hält run_id, timepoint, pair, role, MXID, sequence, offset und Motion-Profile-Digest.</w:t>
      </w:r>
    </w:p>
    <w:p>
      <w:pPr>
        <w:pStyle w:val="ListBullet"/>
      </w:pPr>
      <w:r>
        <w:rPr>
          <w:rFonts w:ascii="Calibri" w:hAnsi="Calibri" w:eastAsia="Calibri"/>
          <w:color w:val="17202A"/>
          <w:sz w:val="22"/>
        </w:rPr>
        <w:tab/>
        <w:t>Lokale Bilder/Evidenz bleiben nach Upload erhalten; Löschung ist ein separater, kontrollierter Lifecycle.</w:t>
      </w:r>
    </w:p>
    <w:p>
      <w:pPr>
        <w:pStyle w:val="Heading2"/>
      </w:pPr>
      <w:r>
        <w:t>10.4  Petri-Daten</w:t>
      </w:r>
    </w:p>
    <w:p>
      <w:pPr>
        <w:spacing w:before="0" w:after="120"/>
      </w:pPr>
      <w:r>
        <w:rPr>
          <w:rFonts w:ascii="Calibri" w:hAnsi="Calibri" w:eastAsia="Calibri"/>
          <w:b w:val="0"/>
          <w:i w:val="0"/>
          <w:color w:val="17202A"/>
          <w:sz w:val="22"/>
        </w:rPr>
        <w:t>Für Petri-Analyse sind plate_id und cluster_id die stabilen Filter, captured_at die Zeitachse, area_px2 die primäre Trendgröße. confidence und status bleiben sichtbar, damit manuelle Freigabe nicht als automatische Messung erscheint. Der Operationsstatus darf höchstens 20 jüngste, pfadfreie Datensätze liefern. CSV/XLSX-Export erfolgt nur mit Berechtigungsprüfung im Zielsystem.</w:t>
      </w:r>
    </w:p>
    <w:p>
      <w:pPr>
        <w:pStyle w:val="Heading1"/>
      </w:pPr>
      <w:r>
        <w:t>11  Secure OTA und Rollback</w:t>
      </w:r>
    </w:p>
    <w:p>
      <w:pPr>
        <w:pStyle w:val="Heading2"/>
      </w:pPr>
      <w:r>
        <w:t>11.1  Prüfkette</w:t>
      </w:r>
    </w:p>
    <w:p>
      <w:pPr>
        <w:pStyle w:val="ListNumber"/>
        <w:numPr>
          <w:ilvl w:val="0"/>
          <w:numId w:val="15"/>
        </w:numPr>
      </w:pPr>
      <w:r>
        <w:rPr>
          <w:rFonts w:ascii="Calibri" w:hAnsi="Calibri" w:eastAsia="Calibri"/>
          <w:color w:val="17202A"/>
          <w:sz w:val="22"/>
        </w:rPr>
        <w:t>LVGL Taste 05 zeigt lokal installierte Version und OTA-Zustand; 'JETZT UPDATEN' ist nur bei action_allowed aktiv.</w:t>
      </w:r>
    </w:p>
    <w:p>
      <w:pPr>
        <w:pStyle w:val="ListNumber"/>
        <w:numPr>
          <w:ilvl w:val="0"/>
          <w:numId w:val="15"/>
        </w:numPr>
      </w:pPr>
      <w:r>
        <w:rPr>
          <w:rFonts w:ascii="Calibri" w:hAnsi="Calibri" w:eastAsia="Calibri"/>
          <w:color w:val="17202A"/>
          <w:sz w:val="22"/>
        </w:rPr>
        <w:t>Backend ruft manifest über HTTPS mit Geräteidentität ab. Downloadhost muss gleich oder allowlisted sein.</w:t>
      </w:r>
    </w:p>
    <w:p>
      <w:pPr>
        <w:pStyle w:val="ListNumber"/>
        <w:numPr>
          <w:ilvl w:val="0"/>
          <w:numId w:val="15"/>
        </w:numPr>
      </w:pPr>
      <w:r>
        <w:rPr>
          <w:rFonts w:ascii="Calibri" w:hAnsi="Calibri" w:eastAsia="Calibri"/>
          <w:color w:val="17202A"/>
          <w:sz w:val="22"/>
        </w:rPr>
        <w:t>Manifest muss version, download_url, sha256, size, archive_root und HMAC-SHA256 signature enthalten.</w:t>
      </w:r>
    </w:p>
    <w:p>
      <w:pPr>
        <w:pStyle w:val="ListNumber"/>
        <w:numPr>
          <w:ilvl w:val="0"/>
          <w:numId w:val="15"/>
        </w:numPr>
      </w:pPr>
      <w:r>
        <w:rPr>
          <w:rFonts w:ascii="Calibri" w:hAnsi="Calibri" w:eastAsia="Calibri"/>
          <w:color w:val="17202A"/>
          <w:sz w:val="22"/>
        </w:rPr>
        <w:t>Archivgröße/Digest/Signatur, Pfade, Dateitypen, Expansion und Pflichtpfad werden vor Installation geprüft.</w:t>
      </w:r>
    </w:p>
    <w:p>
      <w:pPr>
        <w:pStyle w:val="ListNumber"/>
        <w:numPr>
          <w:ilvl w:val="0"/>
          <w:numId w:val="15"/>
        </w:numPr>
      </w:pPr>
      <w:r>
        <w:rPr>
          <w:rFonts w:ascii="Calibri" w:hAnsi="Calibri" w:eastAsia="Calibri"/>
          <w:color w:val="17202A"/>
          <w:sz w:val="22"/>
        </w:rPr>
        <w:t>Neue Anwendung wird neben dem Installationsbaum entpackt und atomar umbenannt; config.json bleibt lokal.</w:t>
      </w:r>
    </w:p>
    <w:p>
      <w:pPr>
        <w:pStyle w:val="ListNumber"/>
        <w:numPr>
          <w:ilvl w:val="0"/>
          <w:numId w:val="15"/>
        </w:numPr>
      </w:pPr>
      <w:r>
        <w:rPr>
          <w:rFonts w:ascii="Calibri" w:hAnsi="Calibri" w:eastAsia="Calibri"/>
          <w:color w:val="17202A"/>
          <w:sz w:val="22"/>
        </w:rPr>
        <w:t>Boot-Supervisor gewährt einen Pending-Boot. Nach stabiler Health-Zeit wird Erfolg committed; sonst exaktes Backup restauriert.</w:t>
      </w:r>
    </w:p>
    <w:p>
      <w:pPr>
        <w:pStyle w:val="CalloutWarning"/>
      </w:pPr>
      <w:r>
        <w:rPr>
          <w:rFonts w:ascii="Calibri" w:hAnsi="Calibri" w:eastAsia="Calibri"/>
          <w:b/>
          <w:color w:val="7A5A00"/>
          <w:sz w:val="21"/>
        </w:rPr>
        <w:t xml:space="preserve">Kein automatisches Apply: </w:t>
      </w:r>
      <w:r>
        <w:rPr>
          <w:rFonts w:ascii="Calibri" w:hAnsi="Calibri" w:eastAsia="Calibri"/>
          <w:color w:val="7A5A00"/>
          <w:sz w:val="21"/>
        </w:rPr>
        <w:t>Ein konfigurierter Hintergrundtimer prüft ausschließlich das signierte Manifest und darf einen verfügbaren Release anzeigen. Archivdownload, atomarer Swap und Restart erfolgen nur nach dem ausdrücklichen Tap auf 'JETZT UPDATEN'.</w:t>
      </w:r>
    </w:p>
    <w:p>
      <w:pPr>
        <w:pStyle w:val="CalloutWarning"/>
      </w:pPr>
      <w:r>
        <w:rPr>
          <w:rFonts w:ascii="Calibri" w:hAnsi="Calibri" w:eastAsia="Calibri"/>
          <w:b/>
          <w:color w:val="7A5A00"/>
          <w:sz w:val="21"/>
        </w:rPr>
        <w:t xml:space="preserve">Abhängigkeiten: </w:t>
      </w:r>
      <w:r>
        <w:rPr>
          <w:rFonts w:ascii="Calibri" w:hAnsi="Calibri" w:eastAsia="Calibri"/>
          <w:color w:val="7A5A00"/>
          <w:sz w:val="21"/>
        </w:rPr>
        <w:t>Das venv liegt außerhalb des OTA-Swaps. Ein Release mit geändertem requirements.txt wird abgelehnt und benötigt einen geprüften Installerlauf, der die Umgebung neu aufbaut.</w:t>
      </w:r>
    </w:p>
    <w:p>
      <w:pPr>
        <w:pStyle w:val="Heading2"/>
      </w:pPr>
      <w:r>
        <w:t>11.2  Operatorverfahren</w:t>
      </w:r>
    </w:p>
    <w:p>
      <w:pPr>
        <w:pStyle w:val="ListBullet"/>
      </w:pPr>
      <w:r>
        <w:rPr>
          <w:rFonts w:ascii="Calibri" w:hAnsi="Calibri" w:eastAsia="Calibri"/>
          <w:color w:val="17202A"/>
          <w:sz w:val="22"/>
        </w:rPr>
        <w:tab/>
        <w:t>Update nur bei frischem, fehlerfreiem, stationärem Lite6 in State 4 und gesperrtem System ohne Capture, Pending Challenge oder Motion.</w:t>
      </w:r>
    </w:p>
    <w:p>
      <w:pPr>
        <w:pStyle w:val="ListBullet"/>
      </w:pPr>
      <w:r>
        <w:rPr>
          <w:rFonts w:ascii="Calibri" w:hAnsi="Calibri" w:eastAsia="Calibri"/>
          <w:color w:val="17202A"/>
          <w:sz w:val="22"/>
        </w:rPr>
        <w:tab/>
        <w:t>Release Notes, Zielversion und Backupkapazität prüfen.</w:t>
      </w:r>
    </w:p>
    <w:p>
      <w:pPr>
        <w:pStyle w:val="ListBullet"/>
      </w:pPr>
      <w:r>
        <w:rPr>
          <w:rFonts w:ascii="Calibri" w:hAnsi="Calibri" w:eastAsia="Calibri"/>
          <w:color w:val="17202A"/>
          <w:sz w:val="22"/>
        </w:rPr>
        <w:tab/>
        <w:t>Taste 'JETZT UPDATEN' einmal drücken; wiederholte Taps werden während checking/busy blockiert.</w:t>
      </w:r>
    </w:p>
    <w:p>
      <w:pPr>
        <w:pStyle w:val="ListBullet"/>
      </w:pPr>
      <w:r>
        <w:rPr>
          <w:rFonts w:ascii="Calibri" w:hAnsi="Calibri" w:eastAsia="Calibri"/>
          <w:color w:val="17202A"/>
          <w:sz w:val="22"/>
        </w:rPr>
        <w:tab/>
        <w:t>OTA hält während Apply/Swap/Restart-Anbahnung exklusiv den gemeinsamen Physical-/Configuration-Owner; Search, Capture, Petri, Recovery und Safety Configuration bleiben gesperrt.</w:t>
      </w:r>
    </w:p>
    <w:p>
      <w:pPr>
        <w:pStyle w:val="ListBullet"/>
      </w:pPr>
      <w:r>
        <w:rPr>
          <w:rFonts w:ascii="Calibri" w:hAnsi="Calibri" w:eastAsia="Calibri"/>
          <w:color w:val="17202A"/>
          <w:sz w:val="22"/>
        </w:rPr>
        <w:tab/>
        <w:t>Signatur- und Archivdigeststatus nur dann als positiv behandeln, wenn das Backend die jeweilige Prüfung ausdrücklich als verified meldet.</w:t>
      </w:r>
    </w:p>
    <w:p>
      <w:pPr>
        <w:pStyle w:val="ListBullet"/>
      </w:pPr>
      <w:r>
        <w:rPr>
          <w:rFonts w:ascii="Calibri" w:hAnsi="Calibri" w:eastAsia="Calibri"/>
          <w:color w:val="17202A"/>
          <w:sz w:val="22"/>
        </w:rPr>
        <w:tab/>
        <w:t>Nach Restart /healthz, beide Dienste, Kameras, Lite6-Telemetrie und UI prüfen.</w:t>
      </w:r>
    </w:p>
    <w:p>
      <w:pPr>
        <w:pStyle w:val="ListBullet"/>
      </w:pPr>
      <w:r>
        <w:rPr>
          <w:rFonts w:ascii="Calibri" w:hAnsi="Calibri" w:eastAsia="Calibri"/>
          <w:color w:val="17202A"/>
          <w:sz w:val="22"/>
        </w:rPr>
        <w:tab/>
        <w:t>Rollbackprobe gehört zur Abnahme; nie unsigned Dateien oder manuelle main.py-Überschreibung verwenden.</w:t>
      </w:r>
    </w:p>
    <w:p>
      <w:pPr>
        <w:pStyle w:val="Heading1"/>
      </w:pPr>
      <w:r>
        <w:t>12  Inbetriebnahme und Kommissionierung</w:t>
      </w:r>
    </w:p>
    <w:p>
      <w:pPr>
        <w:pStyle w:val="Heading2"/>
      </w:pPr>
      <w:r>
        <w:t>12.1  Gateway</w:t>
      </w:r>
    </w:p>
    <w:p>
      <w:pPr>
        <w:pStyle w:val="ListNumber"/>
        <w:numPr>
          <w:ilvl w:val="0"/>
          <w:numId w:val="16"/>
        </w:numPr>
      </w:pPr>
      <w:r>
        <w:rPr>
          <w:rFonts w:ascii="Calibri" w:hAnsi="Calibri" w:eastAsia="Calibri"/>
          <w:color w:val="17202A"/>
          <w:sz w:val="22"/>
        </w:rPr>
        <w:t>Unprivilegierten Serviceuser und /var/lib/labcobot/app anlegen; Secrets außerhalb des Checkouts halten.</w:t>
      </w:r>
    </w:p>
    <w:p>
      <w:pPr>
        <w:pStyle w:val="ListNumber"/>
        <w:numPr>
          <w:ilvl w:val="0"/>
          <w:numId w:val="16"/>
        </w:numPr>
      </w:pPr>
      <w:r>
        <w:rPr>
          <w:rFonts w:ascii="Calibri" w:hAnsi="Calibri" w:eastAsia="Calibri"/>
          <w:color w:val="17202A"/>
          <w:sz w:val="22"/>
        </w:rPr>
        <w:t>Installer mit --runtime-mode gateway --no-enable stagen; Python 3.11-3.13 und gateway requirements verwenden.</w:t>
      </w:r>
    </w:p>
    <w:p>
      <w:pPr>
        <w:pStyle w:val="ListNumber"/>
        <w:numPr>
          <w:ilvl w:val="0"/>
          <w:numId w:val="16"/>
        </w:numPr>
      </w:pPr>
      <w:r>
        <w:rPr>
          <w:rFonts w:ascii="Calibri" w:hAnsi="Calibri" w:eastAsia="Calibri"/>
          <w:color w:val="17202A"/>
          <w:sz w:val="22"/>
        </w:rPr>
        <w:t>Genau zwei OAK-MXIDs mit discover_oak.py --expect 2 erfassen und eindeutig tool/workspace zuweisen.</w:t>
      </w:r>
    </w:p>
    <w:p>
      <w:pPr>
        <w:pStyle w:val="ListNumber"/>
        <w:numPr>
          <w:ilvl w:val="0"/>
          <w:numId w:val="16"/>
        </w:numPr>
      </w:pPr>
      <w:r>
        <w:rPr>
          <w:rFonts w:ascii="Calibri" w:hAnsi="Calibri" w:eastAsia="Calibri"/>
          <w:color w:val="17202A"/>
          <w:sz w:val="22"/>
        </w:rPr>
        <w:t>Dedizierte Robot-Ethernetverbindung konfigurieren und Lite6-Telemetrie read-only prüfen.</w:t>
      </w:r>
    </w:p>
    <w:p>
      <w:pPr>
        <w:pStyle w:val="ListNumber"/>
        <w:numPr>
          <w:ilvl w:val="0"/>
          <w:numId w:val="16"/>
        </w:numPr>
      </w:pPr>
      <w:r>
        <w:rPr>
          <w:rFonts w:ascii="Calibri" w:hAnsi="Calibri" w:eastAsia="Calibri"/>
          <w:color w:val="17202A"/>
          <w:sz w:val="22"/>
        </w:rPr>
        <w:t>Backend und LVGL installieren; 1024 x 600, Zoom 1 und exklusiven Kiosk prüfen.</w:t>
      </w:r>
    </w:p>
    <w:p>
      <w:pPr>
        <w:pStyle w:val="ListNumber"/>
        <w:numPr>
          <w:ilvl w:val="0"/>
          <w:numId w:val="16"/>
        </w:numPr>
      </w:pPr>
      <w:r>
        <w:rPr>
          <w:rFonts w:ascii="Calibri" w:hAnsi="Calibri" w:eastAsia="Calibri"/>
          <w:color w:val="17202A"/>
          <w:sz w:val="22"/>
        </w:rPr>
        <w:t>Commissioning preflight/functional_test und secret-freie Deployment-Evidenz archivieren.</w:t>
      </w:r>
    </w:p>
    <w:p>
      <w:pPr>
        <w:pStyle w:val="Heading2"/>
      </w:pPr>
      <w:r>
        <w:t>12.2  Operator Search</w:t>
      </w:r>
    </w:p>
    <w:tbl>
      <w:tblPr>
        <w:tblStyle w:val="TableGrid"/>
        <w:jc w:val="left"/>
        <w:tblLook w:firstColumn="1" w:firstRow="1" w:lastColumn="0" w:lastRow="0" w:noHBand="0" w:noVBand="1" w:val="04A0"/>
        <w:tblW w:w="9360" w:type="dxa"/>
        <w:tblInd w:w="120" w:type="dxa"/>
        <w:tblLayout w:type="fixed"/>
      </w:tblPr>
      <w:tblGrid>
        <w:gridCol w:w="2900"/>
        <w:gridCol w:w="6460"/>
      </w:tblGrid>
      <w:tr>
        <w:trPr>
          <w:tblHeader w:val="true"/>
        </w:trPr>
        <w:tc>
          <w:tcPr>
            <w:shd w:fill="E8EEF5"/>
            <w:vAlign w:val="center"/>
            <w:tcW w:w="2900" w:type="dxa"/>
            <w:tcMar>
              <w:top w:w="80" w:type="dxa"/>
              <w:bottom w:w="80" w:type="dxa"/>
              <w:start w:w="120" w:type="dxa"/>
              <w:end w:w="120" w:type="dxa"/>
            </w:tcMar>
          </w:tcPr>
          <w:p>
            <w:pPr>
              <w:spacing w:before="20" w:after="20"/>
              <w:jc w:val="center"/>
            </w:pPr>
            <w:r>
              <w:rPr>
                <w:rFonts w:ascii="Calibri" w:hAnsi="Calibri" w:eastAsia="Calibri"/>
                <w:b/>
                <w:color w:val="203748"/>
                <w:sz w:val="17"/>
              </w:rPr>
              <w:t>Artefakt / Nachweis</w:t>
            </w:r>
          </w:p>
        </w:tc>
        <w:tc>
          <w:tcPr>
            <w:shd w:fill="E8EEF5"/>
            <w:vAlign w:val="center"/>
            <w:tcW w:w="6460" w:type="dxa"/>
            <w:tcMar>
              <w:top w:w="80" w:type="dxa"/>
              <w:bottom w:w="80" w:type="dxa"/>
              <w:start w:w="120" w:type="dxa"/>
              <w:end w:w="120" w:type="dxa"/>
            </w:tcMar>
          </w:tcPr>
          <w:p>
            <w:pPr>
              <w:spacing w:before="20" w:after="20"/>
              <w:jc w:val="center"/>
            </w:pPr>
            <w:r>
              <w:rPr>
                <w:rFonts w:ascii="Calibri" w:hAnsi="Calibri" w:eastAsia="Calibri"/>
                <w:b/>
                <w:color w:val="203748"/>
                <w:sz w:val="17"/>
              </w:rPr>
              <w:t>Anforderung</w:t>
            </w:r>
          </w:p>
        </w:tc>
      </w:tr>
      <w:tr>
        <w:trPr>
          <w:cantSplit/>
        </w:trPr>
        <w:tc>
          <w:tcPr>
            <w:vAlign w:val="center"/>
            <w:tcW w:w="29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Lite6 Safety Profile</w:t>
            </w:r>
          </w:p>
        </w:tc>
        <w:tc>
          <w:tcPr>
            <w:vAlign w:val="center"/>
            <w:tcW w:w="64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Exakte Serien-/Firmware-/Offsets-/Payload-/COG-Bindung; TCP/Joint/Speed; root-owned; SHA-256; independent review</w:t>
            </w:r>
          </w:p>
        </w:tc>
      </w:tr>
      <w:tr>
        <w:trPr>
          <w:cantSplit/>
        </w:trPr>
        <w:tc>
          <w:tcPr>
            <w:vAlign w:val="center"/>
            <w:tcW w:w="29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Eye-in-Hand</w:t>
            </w:r>
          </w:p>
        </w:tc>
        <w:tc>
          <w:tcPr>
            <w:vAlign w:val="center"/>
            <w:tcW w:w="64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Exakte Tool-MXID/Resolution; Intrinsics; mindestens 15-25 diverse Posen; Residual/Workspace-Validierung; SHA-256</w:t>
            </w:r>
          </w:p>
        </w:tc>
      </w:tr>
      <w:tr>
        <w:trPr>
          <w:cantSplit/>
        </w:trPr>
        <w:tc>
          <w:tcPr>
            <w:vAlign w:val="center"/>
            <w:tcW w:w="29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Motion Primitive</w:t>
            </w:r>
          </w:p>
        </w:tc>
        <w:tc>
          <w:tcPr>
            <w:vAlign w:val="center"/>
            <w:tcW w:w="64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6-Achsen, valve-relative, Einheiten mm/rad/s, Joint-/Workspace-/Derivativeprüfung; SHA-256; kein ungeprüfter Gripper</w:t>
            </w:r>
          </w:p>
        </w:tc>
      </w:tr>
      <w:tr>
        <w:trPr>
          <w:cantSplit/>
        </w:trPr>
        <w:tc>
          <w:tcPr>
            <w:vAlign w:val="center"/>
            <w:tcW w:w="29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Target Confirmation</w:t>
            </w:r>
          </w:p>
        </w:tc>
        <w:tc>
          <w:tcPr>
            <w:vAlign w:val="center"/>
            <w:tcW w:w="64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Genau ein Owner: geprüftes ONNX + Manifest oder authentisierte Remote-Bestätigung</w:t>
            </w:r>
          </w:p>
        </w:tc>
      </w:tr>
      <w:tr>
        <w:trPr>
          <w:cantSplit/>
        </w:trPr>
        <w:tc>
          <w:tcPr>
            <w:vAlign w:val="center"/>
            <w:tcW w:w="29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Physische Sicherheit</w:t>
            </w:r>
          </w:p>
        </w:tc>
        <w:tc>
          <w:tcPr>
            <w:vAlign w:val="center"/>
            <w:tcW w:w="64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Risikobeurteilung, Guarding, Reduced Mode, Collision, E-Stop-Test, Beobachter und erste überwachte Bewegung</w:t>
            </w:r>
          </w:p>
        </w:tc>
      </w:tr>
    </w:tbl>
    <w:p>
      <w:pPr>
        <w:spacing w:before="80" w:after="80"/>
      </w:pPr>
    </w:p>
    <w:p>
      <w:pPr>
        <w:pStyle w:val="ListNumber"/>
        <w:numPr>
          <w:ilvl w:val="0"/>
          <w:numId w:val="17"/>
        </w:numPr>
      </w:pPr>
      <w:r>
        <w:rPr>
          <w:rFonts w:ascii="Calibri" w:hAnsi="Calibri" w:eastAsia="Calibri"/>
          <w:color w:val="17202A"/>
          <w:sz w:val="22"/>
        </w:rPr>
        <w:t>Risikobeurteilung, Guarding, Reduced Mode, Collision, Not-Halt, Unterweisung und alle root-owned Artefakte unabhängig prüfen.</w:t>
      </w:r>
    </w:p>
    <w:p>
      <w:pPr>
        <w:pStyle w:val="ListNumber"/>
        <w:numPr>
          <w:ilvl w:val="0"/>
          <w:numId w:val="17"/>
        </w:numPr>
      </w:pPr>
      <w:r>
        <w:rPr>
          <w:rFonts w:ascii="Calibri" w:hAnsi="Calibri" w:eastAsia="Calibri"/>
          <w:color w:val="17202A"/>
          <w:sz w:val="22"/>
        </w:rPr>
        <w:t>Safety-Profil im gestoppten Zustand zweistufig anwenden und vollständig zurücklesen; Kamera-, Kalibrierungs-, Modell- und Primitive-Gates positiv und negativ belegen.</w:t>
      </w:r>
    </w:p>
    <w:p>
      <w:pPr>
        <w:pStyle w:val="ListNumber"/>
        <w:numPr>
          <w:ilvl w:val="0"/>
          <w:numId w:val="17"/>
        </w:numPr>
      </w:pPr>
      <w:r>
        <w:rPr>
          <w:rFonts w:ascii="Calibri" w:hAnsi="Calibri" w:eastAsia="Calibri"/>
          <w:color w:val="17202A"/>
          <w:sz w:val="22"/>
        </w:rPr>
        <w:t>Die drei voneinander unabhängigen Rollen signieren dieselbe kanonische Bewegungsfreigabe; öffentliche Trustanker, Receipt und Evidencefiles root-owned, nicht beschreibbar und digestgepinnt installieren.</w:t>
      </w:r>
    </w:p>
    <w:p>
      <w:pPr>
        <w:pStyle w:val="ListNumber"/>
        <w:numPr>
          <w:ilvl w:val="0"/>
          <w:numId w:val="17"/>
        </w:numPr>
      </w:pPr>
      <w:r>
        <w:rPr>
          <w:rFonts w:ascii="Calibri" w:hAnsi="Calibri" w:eastAsia="Calibri"/>
          <w:color w:val="17202A"/>
          <w:sz w:val="22"/>
        </w:rPr>
        <w:t>Offline-Validator, Operator-Preflight und Deployment-Evidenz erfolgreich ausführen. Das Runtime-Gate erst nach vollständiger aktionsspezifischer Permit-Integration aktivieren.</w:t>
      </w:r>
    </w:p>
    <w:p>
      <w:pPr>
        <w:pStyle w:val="ListNumber"/>
        <w:numPr>
          <w:ilvl w:val="0"/>
          <w:numId w:val="17"/>
        </w:numPr>
      </w:pPr>
      <w:r>
        <w:rPr>
          <w:rFonts w:ascii="Calibri" w:hAnsi="Calibri" w:eastAsia="Calibri"/>
          <w:color w:val="17202A"/>
          <w:sz w:val="22"/>
        </w:rPr>
        <w:t>Erste Bewegung ausschließlich mit leerem Arbeitsraum, Beobachter und erreichbarem physischem Not-Halt durchführen; stale target, missing depth, falsche Kamera, Workspace-, IK-, Trajektorien-, Challenge- und STOP-Fehler müssen sperren.</w:t>
      </w:r>
    </w:p>
    <w:p>
      <w:pPr>
        <w:pStyle w:val="Heading2"/>
      </w:pPr>
      <w:r>
        <w:t>12.3  Workcell Capture</w:t>
      </w:r>
    </w:p>
    <w:p>
      <w:pPr>
        <w:pStyle w:val="ListBullet"/>
      </w:pPr>
      <w:r>
        <w:rPr>
          <w:rFonts w:ascii="Calibri" w:hAnsi="Calibri" w:eastAsia="Calibri"/>
          <w:color w:val="17202A"/>
          <w:sz w:val="22"/>
        </w:rPr>
        <w:tab/>
        <w:t>Genaues 15-s/100-Hz Motionprofil (1.501 Frames) und unabhängiger Controller-FK-Trace.</w:t>
      </w:r>
    </w:p>
    <w:p>
      <w:pPr>
        <w:pStyle w:val="ListBullet"/>
      </w:pPr>
      <w:r>
        <w:rPr>
          <w:rFonts w:ascii="Calibri" w:hAnsi="Calibri" w:eastAsia="Calibri"/>
          <w:color w:val="17202A"/>
          <w:sz w:val="22"/>
        </w:rPr>
        <w:tab/>
        <w:t>Beobachtungsbundle mit zwei unterschiedlichen MXIDs/JPEG-Hashes, Emergency-Stop-Witness, Visibility-Witness und frischer Locked-Controller-Observation.</w:t>
      </w:r>
    </w:p>
    <w:p>
      <w:pPr>
        <w:pStyle w:val="ListBullet"/>
      </w:pPr>
      <w:r>
        <w:rPr>
          <w:rFonts w:ascii="Calibri" w:hAnsi="Calibri" w:eastAsia="Calibri"/>
          <w:color w:val="17202A"/>
          <w:sz w:val="22"/>
        </w:rPr>
        <w:tab/>
        <w:t>Kommissionierungstool bleibt offline und bewegt keine Hardware; es erzeugt mode-0600 Safety Evidence + Receipt ohne Überschreiben.</w:t>
      </w:r>
    </w:p>
    <w:p>
      <w:pPr>
        <w:pStyle w:val="ListBullet"/>
      </w:pPr>
      <w:r>
        <w:rPr>
          <w:rFonts w:ascii="Calibri" w:hAnsi="Calibri" w:eastAsia="Calibri"/>
          <w:color w:val="17202A"/>
          <w:sz w:val="22"/>
        </w:rPr>
        <w:tab/>
        <w:t>Vor Installation alle Source-/Evidence-Digests erneut prüfen. Erste Livefahrt unter Aufsicht; danach 15 Paare/30 JPEGs/30 Receipts abnehmen.</w:t>
      </w:r>
    </w:p>
    <w:p>
      <w:pPr>
        <w:pStyle w:val="Heading2"/>
      </w:pPr>
      <w:r>
        <w:t>12.4  Eye-in-Hand Kurzverfahren</w:t>
      </w:r>
    </w:p>
    <w:p>
      <w:pPr>
        <w:pStyle w:val="ListNumber"/>
        <w:numPr>
          <w:ilvl w:val="0"/>
          <w:numId w:val="18"/>
        </w:numPr>
      </w:pPr>
      <w:r>
        <w:rPr>
          <w:rFonts w:ascii="Calibri" w:hAnsi="Calibri" w:eastAsia="Calibri"/>
          <w:color w:val="17202A"/>
          <w:sz w:val="22"/>
        </w:rPr>
        <w:t>Toolkamera endgültig montieren; MXID, Auflösung, Fokus und Intrinsics fixieren.</w:t>
      </w:r>
    </w:p>
    <w:p>
      <w:pPr>
        <w:pStyle w:val="ListNumber"/>
        <w:numPr>
          <w:ilvl w:val="0"/>
          <w:numId w:val="18"/>
        </w:numPr>
      </w:pPr>
      <w:r>
        <w:rPr>
          <w:rFonts w:ascii="Calibri" w:hAnsi="Calibri" w:eastAsia="Calibri"/>
          <w:color w:val="17202A"/>
          <w:sz w:val="22"/>
        </w:rPr>
        <w:t>Dimensionsstabiles ChArUco/Checkerboard im Workspace befestigen; nicht in der Hand halten.</w:t>
      </w:r>
    </w:p>
    <w:p>
      <w:pPr>
        <w:pStyle w:val="ListNumber"/>
        <w:numPr>
          <w:ilvl w:val="0"/>
          <w:numId w:val="18"/>
        </w:numPr>
      </w:pPr>
      <w:r>
        <w:rPr>
          <w:rFonts w:ascii="Calibri" w:hAnsi="Calibri" w:eastAsia="Calibri"/>
          <w:color w:val="17202A"/>
          <w:sz w:val="22"/>
        </w:rPr>
        <w:t>15-25 stationäre, räumlich und rotatorisch diverse Samples mit gemeinsamem Zeitbereich sammeln.</w:t>
      </w:r>
    </w:p>
    <w:p>
      <w:pPr>
        <w:pStyle w:val="ListNumber"/>
        <w:numPr>
          <w:ilvl w:val="0"/>
          <w:numId w:val="18"/>
        </w:numPr>
      </w:pPr>
      <w:r>
        <w:rPr>
          <w:rFonts w:ascii="Calibri" w:hAnsi="Calibri" w:eastAsia="Calibri"/>
          <w:color w:val="17202A"/>
          <w:sz w:val="22"/>
        </w:rPr>
        <w:t>Hand-Eye lösen und Residuen/Axis-Diversity prüfen; Artifact atomar mode 0600 speichern und digest pinnen.</w:t>
      </w:r>
    </w:p>
    <w:p>
      <w:pPr>
        <w:pStyle w:val="ListNumber"/>
        <w:numPr>
          <w:ilvl w:val="0"/>
          <w:numId w:val="18"/>
        </w:numPr>
      </w:pPr>
      <w:r>
        <w:rPr>
          <w:rFonts w:ascii="Calibri" w:hAnsi="Calibri" w:eastAsia="Calibri"/>
          <w:color w:val="17202A"/>
          <w:sz w:val="22"/>
        </w:rPr>
        <w:t>Unabhängig vermessene Punkte sowie Workspacekanten, stale/missing depth, falsche MXID und unplug testen.</w:t>
      </w:r>
    </w:p>
    <w:p>
      <w:pPr>
        <w:pStyle w:val="Heading1"/>
      </w:pPr>
      <w:r>
        <w:t>13  Wartung, Diagnose und Cybersecurity</w:t>
      </w:r>
    </w:p>
    <w:p>
      <w:pPr>
        <w:pStyle w:val="Heading2"/>
      </w:pPr>
      <w:r>
        <w:t>13.1  Wartungsplan</w:t>
      </w:r>
    </w:p>
    <w:tbl>
      <w:tblPr>
        <w:tblStyle w:val="TableGrid"/>
        <w:jc w:val="left"/>
        <w:tblLook w:firstColumn="1" w:firstRow="1" w:lastColumn="0" w:lastRow="0" w:noHBand="0" w:noVBand="1" w:val="04A0"/>
        <w:tblW w:w="9360" w:type="dxa"/>
        <w:tblInd w:w="120" w:type="dxa"/>
        <w:tblLayout w:type="fixed"/>
      </w:tblPr>
      <w:tblGrid>
        <w:gridCol w:w="1700"/>
        <w:gridCol w:w="7660"/>
      </w:tblGrid>
      <w:tr>
        <w:trPr>
          <w:tblHeader w:val="true"/>
        </w:trPr>
        <w:tc>
          <w:tcPr>
            <w:shd w:fill="E8EEF5"/>
            <w:vAlign w:val="center"/>
            <w:tcW w:w="1700" w:type="dxa"/>
            <w:tcMar>
              <w:top w:w="80" w:type="dxa"/>
              <w:bottom w:w="80" w:type="dxa"/>
              <w:start w:w="120" w:type="dxa"/>
              <w:end w:w="120" w:type="dxa"/>
            </w:tcMar>
          </w:tcPr>
          <w:p>
            <w:pPr>
              <w:spacing w:before="20" w:after="20"/>
              <w:jc w:val="center"/>
            </w:pPr>
            <w:r>
              <w:rPr>
                <w:rFonts w:ascii="Calibri" w:hAnsi="Calibri" w:eastAsia="Calibri"/>
                <w:b/>
                <w:color w:val="203748"/>
                <w:sz w:val="18"/>
              </w:rPr>
              <w:t>Intervall</w:t>
            </w:r>
          </w:p>
        </w:tc>
        <w:tc>
          <w:tcPr>
            <w:shd w:fill="E8EEF5"/>
            <w:vAlign w:val="center"/>
            <w:tcW w:w="7660" w:type="dxa"/>
            <w:tcMar>
              <w:top w:w="80" w:type="dxa"/>
              <w:bottom w:w="80" w:type="dxa"/>
              <w:start w:w="120" w:type="dxa"/>
              <w:end w:w="120" w:type="dxa"/>
            </w:tcMar>
          </w:tcPr>
          <w:p>
            <w:pPr>
              <w:spacing w:before="20" w:after="20"/>
              <w:jc w:val="center"/>
            </w:pPr>
            <w:r>
              <w:rPr>
                <w:rFonts w:ascii="Calibri" w:hAnsi="Calibri" w:eastAsia="Calibri"/>
                <w:b/>
                <w:color w:val="203748"/>
                <w:sz w:val="18"/>
              </w:rPr>
              <w:t>Prüfung</w:t>
            </w:r>
          </w:p>
        </w:tc>
      </w:tr>
      <w:tr>
        <w:trPr>
          <w:cantSplit/>
        </w:trPr>
        <w:tc>
          <w:tcPr>
            <w:vAlign w:val="center"/>
            <w:tcW w:w="1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Vor jeder Schicht</w:t>
            </w:r>
          </w:p>
        </w:tc>
        <w:tc>
          <w:tcPr>
            <w:vAlign w:val="center"/>
            <w:tcW w:w="7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Befestigung, Kabel, Schutzkette, E-Stop-Zugänglichkeit, Sichtfelder, /healthz, Error/Warning</w:t>
            </w:r>
          </w:p>
        </w:tc>
      </w:tr>
      <w:tr>
        <w:trPr>
          <w:cantSplit/>
        </w:trPr>
        <w:tc>
          <w:tcPr>
            <w:vAlign w:val="center"/>
            <w:tcW w:w="1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Wöchentlich</w:t>
            </w:r>
          </w:p>
        </w:tc>
        <w:tc>
          <w:tcPr>
            <w:vAlign w:val="center"/>
            <w:tcW w:w="7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Journalfehler, Service-Restarts, Outbox/Dead Letters, freier Speicher, Kamera-Reconnects</w:t>
            </w:r>
          </w:p>
        </w:tc>
      </w:tr>
      <w:tr>
        <w:trPr>
          <w:cantSplit/>
        </w:trPr>
        <w:tc>
          <w:tcPr>
            <w:vAlign w:val="center"/>
            <w:tcW w:w="1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Monatlich</w:t>
            </w:r>
          </w:p>
        </w:tc>
        <w:tc>
          <w:tcPr>
            <w:vAlign w:val="center"/>
            <w:tcW w:w="7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OAK-Halter/Fokus/Beleuchtung, Touchmapping, Zeit/Netzwerk, Backup-Restore-Stichprobe</w:t>
            </w:r>
          </w:p>
        </w:tc>
      </w:tr>
      <w:tr>
        <w:trPr>
          <w:cantSplit/>
        </w:trPr>
        <w:tc>
          <w:tcPr>
            <w:vAlign w:val="center"/>
            <w:tcW w:w="1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Nach Änderung/Kollision</w:t>
            </w:r>
          </w:p>
        </w:tc>
        <w:tc>
          <w:tcPr>
            <w:vAlign w:val="center"/>
            <w:tcW w:w="7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Risikobeurteilung, TCP/Payload/Mount, Safety Readback, Kalibrierung und Motionartifacts neu prüfen</w:t>
            </w:r>
          </w:p>
        </w:tc>
      </w:tr>
      <w:tr>
        <w:trPr>
          <w:cantSplit/>
        </w:trPr>
        <w:tc>
          <w:tcPr>
            <w:vAlign w:val="center"/>
            <w:tcW w:w="17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Vor Update</w:t>
            </w:r>
          </w:p>
        </w:tc>
        <w:tc>
          <w:tcPr>
            <w:vAlign w:val="center"/>
            <w:tcW w:w="76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Release Notes; Hersteller empfiehlt produktive Geräte nicht unkritisch zu aktualisieren; vollständige Backup-/Rollback-Evidenz</w:t>
            </w:r>
          </w:p>
        </w:tc>
      </w:tr>
    </w:tbl>
    <w:p>
      <w:pPr>
        <w:spacing w:before="80" w:after="80"/>
      </w:pPr>
    </w:p>
    <w:p>
      <w:pPr>
        <w:pStyle w:val="Heading2"/>
      </w:pPr>
      <w:r>
        <w:t>13.2  Diagnosebefehle</w:t>
      </w:r>
    </w:p>
    <w:p>
      <w:pPr>
        <w:pStyle w:val="Code"/>
      </w:pPr>
      <w:r>
        <w:rPr>
          <w:rFonts w:ascii="Courier New" w:hAnsi="Courier New" w:eastAsia="Courier New"/>
          <w:color w:val="203748"/>
          <w:sz w:val="17"/>
        </w:rPr>
        <w:t>systemctl is-active labcobot labcobot-lvgl</w:t>
        <w:br/>
        <w:t>systemctl show labcobot labcobot-lvgl -p MainPID -p NRestarts</w:t>
        <w:br/>
        <w:t>journalctl -u labcobot -n 100 --no-pager</w:t>
        <w:br/>
        <w:t>journalctl -u labcobot-lvgl -n 100 --no-pager</w:t>
        <w:br/>
        <w:t>curl --noproxy '*' --max-time 2 http://127.0.0.1:8765/healthz</w:t>
        <w:br/>
        <w:t>df -h /var/lib/labcobot</w:t>
      </w:r>
    </w:p>
    <w:p>
      <w:pPr>
        <w:pStyle w:val="CalloutNote"/>
      </w:pPr>
      <w:r>
        <w:rPr>
          <w:rFonts w:ascii="Calibri" w:hAnsi="Calibri" w:eastAsia="Calibri"/>
          <w:b/>
          <w:color w:val="1F4D78"/>
          <w:sz w:val="21"/>
        </w:rPr>
        <w:t xml:space="preserve">Protokollhygiene: </w:t>
      </w:r>
      <w:r>
        <w:rPr>
          <w:rFonts w:ascii="Calibri" w:hAnsi="Calibri" w:eastAsia="Calibri"/>
          <w:color w:val="1F4D78"/>
          <w:sz w:val="21"/>
        </w:rPr>
        <w:t>Health JSON und Journals sind secret-frei zu halten. Niemals EnvironmentFile, Header mit X-Device-Secret oder OTA-Signing-Key in Tickets oder Screenshots ausgeben.</w:t>
      </w:r>
    </w:p>
    <w:p>
      <w:pPr>
        <w:pStyle w:val="Heading2"/>
      </w:pPr>
      <w:r>
        <w:t>13.3  Cybersecurity</w:t>
      </w:r>
    </w:p>
    <w:p>
      <w:pPr>
        <w:pStyle w:val="ListBullet"/>
      </w:pPr>
      <w:r>
        <w:rPr>
          <w:rFonts w:ascii="Calibri" w:hAnsi="Calibri" w:eastAsia="Calibri"/>
          <w:color w:val="17202A"/>
          <w:sz w:val="22"/>
        </w:rPr>
        <w:tab/>
        <w:t>Backend und LVGL laufen unprivilegiert; keine Linux-Capabilities; systemd Filesystem-/Prozess-/Netzwerkhärtung aktiv.</w:t>
      </w:r>
    </w:p>
    <w:p>
      <w:pPr>
        <w:pStyle w:val="ListBullet"/>
      </w:pPr>
      <w:r>
        <w:rPr>
          <w:rFonts w:ascii="Calibri" w:hAnsi="Calibri" w:eastAsia="Calibri"/>
          <w:color w:val="17202A"/>
          <w:sz w:val="22"/>
        </w:rPr>
        <w:tab/>
        <w:t>LVGL kann nur localhost erreichen und weder Backend-Environment noch State Tree lesen.</w:t>
      </w:r>
    </w:p>
    <w:p>
      <w:pPr>
        <w:pStyle w:val="ListBullet"/>
      </w:pPr>
      <w:r>
        <w:rPr>
          <w:rFonts w:ascii="Calibri" w:hAnsi="Calibri" w:eastAsia="Calibri"/>
          <w:color w:val="17202A"/>
          <w:sz w:val="22"/>
        </w:rPr>
        <w:tab/>
        <w:t>Device Secret und OTA Signing Key sind getrennt; nur root-owned Environmentdatei; keine Secrets im Repository/Outbox/OTA-State.</w:t>
      </w:r>
    </w:p>
    <w:p>
      <w:pPr>
        <w:pStyle w:val="ListBullet"/>
      </w:pPr>
      <w:r>
        <w:rPr>
          <w:rFonts w:ascii="Calibri" w:hAnsi="Calibri" w:eastAsia="Calibri"/>
          <w:color w:val="17202A"/>
          <w:sz w:val="22"/>
        </w:rPr>
        <w:tab/>
        <w:t>Cloudzugriffe ausschließlich HTTPS, IDs/Hashes korreliert, Events idempotent, Shortcuts allowlisted und an Device/Receipt gebunden.</w:t>
      </w:r>
    </w:p>
    <w:p>
      <w:pPr>
        <w:pStyle w:val="ListBullet"/>
      </w:pPr>
      <w:r>
        <w:rPr>
          <w:rFonts w:ascii="Calibri" w:hAnsi="Calibri" w:eastAsia="Calibri"/>
          <w:color w:val="17202A"/>
          <w:sz w:val="22"/>
        </w:rPr>
        <w:tab/>
        <w:t>Arbitrary Python execution, direkter Codeupload, unsigned MicroPython updater und alte LVGL-Launcher sind retired und fail-closed.</w:t>
      </w:r>
    </w:p>
    <w:p>
      <w:pPr>
        <w:pStyle w:val="ListBullet"/>
      </w:pPr>
      <w:r>
        <w:rPr>
          <w:rFonts w:ascii="Calibri" w:hAnsi="Calibri" w:eastAsia="Calibri"/>
          <w:color w:val="17202A"/>
          <w:sz w:val="22"/>
        </w:rPr>
        <w:tab/>
        <w:t>Remote- oder Browserzugriff auf Motion-Actions ist nicht vorgesehen. Der Python-Dienst verweigert Nicht-Loopback-Bindings; externer Videotransport benötigt einen separat geprüften TLS-Proxy und ändert nicht die Motion-Gates.</w:t>
      </w:r>
    </w:p>
    <w:p>
      <w:pPr>
        <w:pStyle w:val="Heading2"/>
      </w:pPr>
      <w:r>
        <w:t>13.4  Backup und Restore</w:t>
      </w:r>
    </w:p>
    <w:p>
      <w:pPr>
        <w:pStyle w:val="ListBullet"/>
      </w:pPr>
      <w:r>
        <w:rPr>
          <w:rFonts w:ascii="Calibri" w:hAnsi="Calibri" w:eastAsia="Calibri"/>
          <w:color w:val="17202A"/>
          <w:sz w:val="22"/>
        </w:rPr>
        <w:tab/>
        <w:t>Vor Änderungen: root-owned /etc/labcobot Konfiguration, SHA-256-Artefakte, Outbox/SQLite, Datasetmanifeste und Commissioning Receipts sichern; Secrets verschlüsselt und getrennt behandeln.</w:t>
      </w:r>
    </w:p>
    <w:p>
      <w:pPr>
        <w:pStyle w:val="ListBullet"/>
      </w:pPr>
      <w:r>
        <w:rPr>
          <w:rFonts w:ascii="Calibri" w:hAnsi="Calibri" w:eastAsia="Calibri"/>
          <w:color w:val="17202A"/>
          <w:sz w:val="22"/>
        </w:rPr>
        <w:tab/>
        <w:t>OTA bewahrt vorherigen App-Release bis Health Commit. Boot-Supervisor restauriert bei zweitem Pending-Start automatisch.</w:t>
      </w:r>
    </w:p>
    <w:p>
      <w:pPr>
        <w:pStyle w:val="ListBullet"/>
      </w:pPr>
      <w:r>
        <w:rPr>
          <w:rFonts w:ascii="Calibri" w:hAnsi="Calibri" w:eastAsia="Calibri"/>
          <w:color w:val="17202A"/>
          <w:sz w:val="22"/>
        </w:rPr>
        <w:tab/>
        <w:t>Exklusiver Kiosk bewahrt LightDM-Konfiguration als nie überschriebenes Backup; Restore-Helfer verweigert bei zwischenzeitlichen Adminänderungen.</w:t>
      </w:r>
    </w:p>
    <w:p>
      <w:pPr>
        <w:pStyle w:val="ListBullet"/>
      </w:pPr>
      <w:r>
        <w:rPr>
          <w:rFonts w:ascii="Calibri" w:hAnsi="Calibri" w:eastAsia="Calibri"/>
          <w:color w:val="17202A"/>
          <w:sz w:val="22"/>
        </w:rPr>
        <w:tab/>
        <w:t>Restore nie durch Kopieren fremder Safety-/Kalibrierprofile; Identitäten und Digests müssen zum physischen Stand passen.</w:t>
      </w:r>
    </w:p>
    <w:p>
      <w:pPr>
        <w:pStyle w:val="Heading1"/>
      </w:pPr>
      <w:r>
        <w:t>14  Abnahme und Troubleshooting</w:t>
      </w:r>
    </w:p>
    <w:p>
      <w:pPr>
        <w:pStyle w:val="Heading2"/>
      </w:pPr>
      <w:r>
        <w:t>14.1  Gateway-Abnahme</w:t>
      </w:r>
    </w:p>
    <w:tbl>
      <w:tblPr>
        <w:tblStyle w:val="TableGrid"/>
        <w:jc w:val="left"/>
        <w:tblLook w:firstColumn="1" w:firstRow="1" w:lastColumn="0" w:lastRow="0" w:noHBand="0" w:noVBand="1" w:val="04A0"/>
        <w:tblW w:w="9360" w:type="dxa"/>
        <w:tblInd w:w="120" w:type="dxa"/>
        <w:tblLayout w:type="fixed"/>
      </w:tblPr>
      <w:tblGrid>
        <w:gridCol w:w="3000"/>
        <w:gridCol w:w="5100"/>
        <w:gridCol w:w="1260"/>
      </w:tblGrid>
      <w:tr>
        <w:trPr>
          <w:tblHeader w:val="true"/>
        </w:trPr>
        <w:tc>
          <w:tcPr>
            <w:shd w:fill="E8EEF5"/>
            <w:vAlign w:val="center"/>
            <w:tcW w:w="3000" w:type="dxa"/>
            <w:tcMar>
              <w:top w:w="80" w:type="dxa"/>
              <w:bottom w:w="80" w:type="dxa"/>
              <w:start w:w="120" w:type="dxa"/>
              <w:end w:w="120" w:type="dxa"/>
            </w:tcMar>
          </w:tcPr>
          <w:p>
            <w:pPr>
              <w:spacing w:before="20" w:after="20"/>
              <w:jc w:val="center"/>
            </w:pPr>
            <w:r>
              <w:rPr>
                <w:rFonts w:ascii="Calibri" w:hAnsi="Calibri" w:eastAsia="Calibri"/>
                <w:b/>
                <w:color w:val="203748"/>
                <w:sz w:val="17"/>
              </w:rPr>
              <w:t>Prüfung</w:t>
            </w:r>
          </w:p>
        </w:tc>
        <w:tc>
          <w:tcPr>
            <w:shd w:fill="E8EEF5"/>
            <w:vAlign w:val="center"/>
            <w:tcW w:w="5100" w:type="dxa"/>
            <w:tcMar>
              <w:top w:w="80" w:type="dxa"/>
              <w:bottom w:w="80" w:type="dxa"/>
              <w:start w:w="120" w:type="dxa"/>
              <w:end w:w="120" w:type="dxa"/>
            </w:tcMar>
          </w:tcPr>
          <w:p>
            <w:pPr>
              <w:spacing w:before="20" w:after="20"/>
              <w:jc w:val="center"/>
            </w:pPr>
            <w:r>
              <w:rPr>
                <w:rFonts w:ascii="Calibri" w:hAnsi="Calibri" w:eastAsia="Calibri"/>
                <w:b/>
                <w:color w:val="203748"/>
                <w:sz w:val="17"/>
              </w:rPr>
              <w:t>Soll</w:t>
            </w:r>
          </w:p>
        </w:tc>
        <w:tc>
          <w:tcPr>
            <w:shd w:fill="E8EEF5"/>
            <w:vAlign w:val="center"/>
            <w:tcW w:w="1260" w:type="dxa"/>
            <w:tcMar>
              <w:top w:w="80" w:type="dxa"/>
              <w:bottom w:w="80" w:type="dxa"/>
              <w:start w:w="120" w:type="dxa"/>
              <w:end w:w="120" w:type="dxa"/>
            </w:tcMar>
          </w:tcPr>
          <w:p>
            <w:pPr>
              <w:spacing w:before="20" w:after="20"/>
              <w:jc w:val="center"/>
            </w:pPr>
            <w:r>
              <w:rPr>
                <w:rFonts w:ascii="Calibri" w:hAnsi="Calibri" w:eastAsia="Calibri"/>
                <w:b/>
                <w:color w:val="203748"/>
                <w:sz w:val="17"/>
              </w:rPr>
              <w:t>Ergebnis</w:t>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Autostart</w:t>
            </w:r>
          </w:p>
        </w:tc>
        <w:tc>
          <w:tcPr>
            <w:vAlign w:val="center"/>
            <w:tcW w:w="51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Beide systemd Units enabled/active, NRestarts stabil</w:t>
            </w:r>
          </w:p>
        </w:tc>
        <w:tc>
          <w:tcPr>
            <w:vAlign w:val="center"/>
            <w:tcW w:w="12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 ]</w:t>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Kiosk</w:t>
            </w:r>
          </w:p>
        </w:tc>
        <w:tc>
          <w:tcPr>
            <w:vAlign w:val="center"/>
            <w:tcW w:w="51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Nur LVGL fullscreen; 1024 x 600; sechs Touchbuttons</w:t>
            </w:r>
          </w:p>
        </w:tc>
        <w:tc>
          <w:tcPr>
            <w:vAlign w:val="center"/>
            <w:tcW w:w="12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 ]</w:t>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Health</w:t>
            </w:r>
          </w:p>
        </w:tc>
        <w:tc>
          <w:tcPr>
            <w:vAlign w:val="center"/>
            <w:tcW w:w="51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HTTP 200; ready true; keine problems</w:t>
            </w:r>
          </w:p>
        </w:tc>
        <w:tc>
          <w:tcPr>
            <w:vAlign w:val="center"/>
            <w:tcW w:w="12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 ]</w:t>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Kameras</w:t>
            </w:r>
          </w:p>
        </w:tc>
        <w:tc>
          <w:tcPr>
            <w:vAlign w:val="center"/>
            <w:tcW w:w="51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Tool + workspace distinct, running, fresh, errors 0</w:t>
            </w:r>
          </w:p>
        </w:tc>
        <w:tc>
          <w:tcPr>
            <w:vAlign w:val="center"/>
            <w:tcW w:w="12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 ]</w:t>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Lite6 Telemetrie</w:t>
            </w:r>
          </w:p>
        </w:tc>
        <w:tc>
          <w:tcPr>
            <w:vAlign w:val="center"/>
            <w:tcW w:w="51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Axis 6 / Type 9; state/mode plausibel; stationär; Error/Warning 0</w:t>
            </w:r>
          </w:p>
        </w:tc>
        <w:tc>
          <w:tcPr>
            <w:vAlign w:val="center"/>
            <w:tcW w:w="12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 ]</w:t>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Motion Gate</w:t>
            </w:r>
          </w:p>
        </w:tc>
        <w:tc>
          <w:tcPr>
            <w:vAlign w:val="center"/>
            <w:tcW w:w="51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gateway: LOCKED, capable/armed/live false</w:t>
            </w:r>
          </w:p>
        </w:tc>
        <w:tc>
          <w:tcPr>
            <w:vAlign w:val="center"/>
            <w:tcW w:w="12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 ]</w:t>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OTA</w:t>
            </w:r>
          </w:p>
        </w:tc>
        <w:tc>
          <w:tcPr>
            <w:vAlign w:val="center"/>
            <w:tcW w:w="51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Signierte Prüfung; kein unsigned Fallback; Restart/Health/Rollback getestet</w:t>
            </w:r>
          </w:p>
        </w:tc>
        <w:tc>
          <w:tcPr>
            <w:vAlign w:val="center"/>
            <w:tcW w:w="12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 ]</w:t>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Security</w:t>
            </w:r>
          </w:p>
        </w:tc>
        <w:tc>
          <w:tcPr>
            <w:vAlign w:val="center"/>
            <w:tcW w:w="51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Actions loopback-only; LVGL kein Zugriff auf Secrets/State</w:t>
            </w:r>
          </w:p>
        </w:tc>
        <w:tc>
          <w:tcPr>
            <w:vAlign w:val="center"/>
            <w:tcW w:w="12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 ]</w:t>
            </w:r>
          </w:p>
        </w:tc>
      </w:tr>
    </w:tbl>
    <w:p>
      <w:pPr>
        <w:spacing w:before="80" w:after="80"/>
      </w:pPr>
    </w:p>
    <w:p>
      <w:pPr>
        <w:pStyle w:val="Heading2"/>
      </w:pPr>
      <w:r>
        <w:t>14.2  Zusätzliche Motion-/Capture-Abnahme</w:t>
      </w:r>
    </w:p>
    <w:p>
      <w:pPr>
        <w:pStyle w:val="ListBullet"/>
      </w:pPr>
      <w:r>
        <w:rPr>
          <w:rFonts w:ascii="Calibri" w:hAnsi="Calibri" w:eastAsia="Calibri"/>
          <w:color w:val="17202A"/>
          <w:sz w:val="22"/>
        </w:rPr>
        <w:tab/>
        <w:t>Physische Risikobeurteilung, Guarding, E-Stop-Test und Unterweisung signiert.</w:t>
      </w:r>
    </w:p>
    <w:p>
      <w:pPr>
        <w:pStyle w:val="ListBullet"/>
      </w:pPr>
      <w:r>
        <w:rPr>
          <w:rFonts w:ascii="Calibri" w:hAnsi="Calibri" w:eastAsia="Calibri"/>
          <w:color w:val="17202A"/>
          <w:sz w:val="22"/>
        </w:rPr>
        <w:tab/>
        <w:t>Alle root-owned Artefakte/Digests/Identitäten stimmen; falscher Digest/MXID/Serial wird negativ getestet.</w:t>
      </w:r>
    </w:p>
    <w:p>
      <w:pPr>
        <w:pStyle w:val="ListBullet"/>
      </w:pPr>
      <w:r>
        <w:rPr>
          <w:rFonts w:ascii="Calibri" w:hAnsi="Calibri" w:eastAsia="Calibri"/>
          <w:color w:val="17202A"/>
          <w:sz w:val="22"/>
        </w:rPr>
        <w:tab/>
        <w:t>Reduced Mode, Boundary, Joint/Speed/Collision Readback exakt und innerhalb standortspezifischer Werte.</w:t>
      </w:r>
    </w:p>
    <w:p>
      <w:pPr>
        <w:pStyle w:val="ListBullet"/>
      </w:pPr>
      <w:r>
        <w:rPr>
          <w:rFonts w:ascii="Calibri" w:hAnsi="Calibri" w:eastAsia="Calibri"/>
          <w:color w:val="17202A"/>
          <w:sz w:val="22"/>
        </w:rPr>
        <w:tab/>
        <w:t>Search: stale target, missing depth, falsche Kamera, Workspacegrenze, IK/Trajectoryfehler, Challenge-Timeout und STOP blockieren nachweislich.</w:t>
      </w:r>
    </w:p>
    <w:p>
      <w:pPr>
        <w:pStyle w:val="ListBullet"/>
      </w:pPr>
      <w:r>
        <w:rPr>
          <w:rFonts w:ascii="Calibri" w:hAnsi="Calibri" w:eastAsia="Calibri"/>
          <w:color w:val="17202A"/>
          <w:sz w:val="22"/>
        </w:rPr>
        <w:tab/>
        <w:t>Capture: genau 15 Paare/30 JPEGs/Manifest; STOP/Strom/Disk/stale/skew/Uploadfehler werden nicht als Erfolg gewertet; Receipt bindet richtige Dataset-ID.</w:t>
      </w:r>
    </w:p>
    <w:p>
      <w:pPr>
        <w:pStyle w:val="ListBullet"/>
      </w:pPr>
      <w:r>
        <w:rPr>
          <w:rFonts w:ascii="Calibri" w:hAnsi="Calibri" w:eastAsia="Calibri"/>
          <w:color w:val="17202A"/>
          <w:sz w:val="22"/>
        </w:rPr>
        <w:tab/>
        <w:t>Drei unabhängige Ed25519-Freigaben, Trust-Policy, Widerruf, Ablauf, Softwaremessung und persistente Einmalverwendung positiv und negativ testen.</w:t>
      </w:r>
    </w:p>
    <w:p>
      <w:pPr>
        <w:pStyle w:val="ListBullet"/>
      </w:pPr>
      <w:r>
        <w:rPr>
          <w:rFonts w:ascii="Calibri" w:hAnsi="Calibri" w:eastAsia="Calibri"/>
          <w:color w:val="17202A"/>
          <w:sz w:val="22"/>
        </w:rPr>
        <w:tab/>
        <w:t>Manipulation von App, Venv, Service, Config, Receipt, Trust oder Evidence sowie Pending-OTA oder Rollback muss jede Freigabe nachweislich widerrufen.</w:t>
      </w:r>
    </w:p>
    <w:p>
      <w:pPr>
        <w:pStyle w:val="Heading2"/>
      </w:pPr>
      <w:r>
        <w:t>14.3  Fehlersuche</w:t>
      </w:r>
    </w:p>
    <w:tbl>
      <w:tblPr>
        <w:tblStyle w:val="TableGrid"/>
        <w:jc w:val="left"/>
        <w:tblLook w:firstColumn="1" w:firstRow="1" w:lastColumn="0" w:lastRow="0" w:noHBand="0" w:noVBand="1" w:val="04A0"/>
        <w:tblW w:w="9360" w:type="dxa"/>
        <w:tblInd w:w="120" w:type="dxa"/>
        <w:tblLayout w:type="fixed"/>
      </w:tblPr>
      <w:tblGrid>
        <w:gridCol w:w="2250"/>
        <w:gridCol w:w="3430"/>
        <w:gridCol w:w="3680"/>
      </w:tblGrid>
      <w:tr>
        <w:trPr>
          <w:tblHeader w:val="true"/>
        </w:trPr>
        <w:tc>
          <w:tcPr>
            <w:shd w:fill="E8EEF5"/>
            <w:vAlign w:val="center"/>
            <w:tcW w:w="2250" w:type="dxa"/>
            <w:tcMar>
              <w:top w:w="80" w:type="dxa"/>
              <w:bottom w:w="80" w:type="dxa"/>
              <w:start w:w="120" w:type="dxa"/>
              <w:end w:w="120" w:type="dxa"/>
            </w:tcMar>
          </w:tcPr>
          <w:p>
            <w:pPr>
              <w:spacing w:before="20" w:after="20"/>
              <w:jc w:val="center"/>
            </w:pPr>
            <w:r>
              <w:rPr>
                <w:rFonts w:ascii="Calibri" w:hAnsi="Calibri" w:eastAsia="Calibri"/>
                <w:b/>
                <w:color w:val="203748"/>
                <w:sz w:val="16"/>
              </w:rPr>
              <w:t>Anzeige / Symptom</w:t>
            </w:r>
          </w:p>
        </w:tc>
        <w:tc>
          <w:tcPr>
            <w:shd w:fill="E8EEF5"/>
            <w:vAlign w:val="center"/>
            <w:tcW w:w="3430" w:type="dxa"/>
            <w:tcMar>
              <w:top w:w="80" w:type="dxa"/>
              <w:bottom w:w="80" w:type="dxa"/>
              <w:start w:w="120" w:type="dxa"/>
              <w:end w:w="120" w:type="dxa"/>
            </w:tcMar>
          </w:tcPr>
          <w:p>
            <w:pPr>
              <w:spacing w:before="20" w:after="20"/>
              <w:jc w:val="center"/>
            </w:pPr>
            <w:r>
              <w:rPr>
                <w:rFonts w:ascii="Calibri" w:hAnsi="Calibri" w:eastAsia="Calibri"/>
                <w:b/>
                <w:color w:val="203748"/>
                <w:sz w:val="16"/>
              </w:rPr>
              <w:t>Prüfen</w:t>
            </w:r>
          </w:p>
        </w:tc>
        <w:tc>
          <w:tcPr>
            <w:shd w:fill="E8EEF5"/>
            <w:vAlign w:val="center"/>
            <w:tcW w:w="3680" w:type="dxa"/>
            <w:tcMar>
              <w:top w:w="80" w:type="dxa"/>
              <w:bottom w:w="80" w:type="dxa"/>
              <w:start w:w="120" w:type="dxa"/>
              <w:end w:w="120" w:type="dxa"/>
            </w:tcMar>
          </w:tcPr>
          <w:p>
            <w:pPr>
              <w:spacing w:before="20" w:after="20"/>
              <w:jc w:val="center"/>
            </w:pPr>
            <w:r>
              <w:rPr>
                <w:rFonts w:ascii="Calibri" w:hAnsi="Calibri" w:eastAsia="Calibri"/>
                <w:b/>
                <w:color w:val="203748"/>
                <w:sz w:val="16"/>
              </w:rPr>
              <w:t>Zulässige Maßnahme</w:t>
            </w:r>
          </w:p>
        </w:tc>
      </w:tr>
      <w:tr>
        <w:trPr>
          <w:cantSplit/>
        </w:trPr>
        <w:tc>
          <w:tcPr>
            <w:vAlign w:val="center"/>
            <w:tcW w:w="22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ATTENTION REQUIRED</w:t>
            </w:r>
          </w:p>
        </w:tc>
        <w:tc>
          <w:tcPr>
            <w:vAlign w:val="center"/>
            <w:tcW w:w="343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runtime.problems, Worker, Kamera, DataHub, xArm</w:t>
            </w:r>
          </w:p>
        </w:tc>
        <w:tc>
          <w:tcPr>
            <w:vAlign w:val="center"/>
            <w:tcW w:w="368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Betroffene Ursache einzeln beheben; keine Statusfälschung</w:t>
            </w:r>
          </w:p>
        </w:tc>
      </w:tr>
      <w:tr>
        <w:trPr>
          <w:cantSplit/>
        </w:trPr>
        <w:tc>
          <w:tcPr>
            <w:vAlign w:val="center"/>
            <w:tcW w:w="22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Kamera stale/degraded</w:t>
            </w:r>
          </w:p>
        </w:tc>
        <w:tc>
          <w:tcPr>
            <w:vAlign w:val="center"/>
            <w:tcW w:w="343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USB-Strom, MXID/Rolle, Kabel, Reconnects, Prozess</w:t>
            </w:r>
          </w:p>
        </w:tc>
        <w:tc>
          <w:tcPr>
            <w:vAlign w:val="center"/>
            <w:tcW w:w="368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Kabel/Versorgung prüfen; Kamera neu verbinden; Dienst kontrolliert restarten</w:t>
            </w:r>
          </w:p>
        </w:tc>
      </w:tr>
      <w:tr>
        <w:trPr>
          <w:cantSplit/>
        </w:trPr>
        <w:tc>
          <w:tcPr>
            <w:vAlign w:val="center"/>
            <w:tcW w:w="22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xARM DISCONNECTED</w:t>
            </w:r>
          </w:p>
        </w:tc>
        <w:tc>
          <w:tcPr>
            <w:vAlign w:val="center"/>
            <w:tcW w:w="343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Robotversorgung, E-Stop, dedizierter Link, Route, IP-Konflikt</w:t>
            </w:r>
          </w:p>
        </w:tc>
        <w:tc>
          <w:tcPr>
            <w:vAlign w:val="center"/>
            <w:tcW w:w="368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Hersteller-/Netzwerkverfahren; keine Motion-Flags ändern</w:t>
            </w:r>
          </w:p>
        </w:tc>
      </w:tr>
      <w:tr>
        <w:trPr>
          <w:cantSplit/>
        </w:trPr>
        <w:tc>
          <w:tcPr>
            <w:vAlign w:val="center"/>
            <w:tcW w:w="22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ERROR 2 / EMERGENCY-IO OPEN</w:t>
            </w:r>
          </w:p>
        </w:tc>
        <w:tc>
          <w:tcPr>
            <w:vAlign w:val="center"/>
            <w:tcW w:w="343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Physische E-Stop-/Safety-I/O-Kette und Controllerdiagnose</w:t>
            </w:r>
          </w:p>
        </w:tc>
        <w:tc>
          <w:tcPr>
            <w:vAlign w:val="center"/>
            <w:tcW w:w="368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Mechanische/elektrische Ursache durch Fachkraft beheben; kein Softwarebypass, kein Auto-clear</w:t>
            </w:r>
          </w:p>
        </w:tc>
      </w:tr>
      <w:tr>
        <w:trPr>
          <w:cantSplit/>
        </w:trPr>
        <w:tc>
          <w:tcPr>
            <w:vAlign w:val="center"/>
            <w:tcW w:w="22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REDUCED MODE / BOUNDARY NOT READY</w:t>
            </w:r>
          </w:p>
        </w:tc>
        <w:tc>
          <w:tcPr>
            <w:vAlign w:val="center"/>
            <w:tcW w:w="343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Profil vorhanden? Hash/Serial/FW/Offsets/Payload/Readback exakt?</w:t>
            </w:r>
          </w:p>
        </w:tc>
        <w:tc>
          <w:tcPr>
            <w:vAlign w:val="center"/>
            <w:tcW w:w="368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Profil unabhängig korrigieren/neu prüfen; nicht mechanische Maxima kopieren</w:t>
            </w:r>
          </w:p>
        </w:tc>
      </w:tr>
      <w:tr>
        <w:trPr>
          <w:cantSplit/>
        </w:trPr>
        <w:tc>
          <w:tcPr>
            <w:vAlign w:val="center"/>
            <w:tcW w:w="22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CAPTURE UNAVAILABLE</w:t>
            </w:r>
          </w:p>
        </w:tc>
        <w:tc>
          <w:tcPr>
            <w:vAlign w:val="center"/>
            <w:tcW w:w="343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Runtime mode, Motion/Safety Evidence, Datasetbindung</w:t>
            </w:r>
          </w:p>
        </w:tc>
        <w:tc>
          <w:tcPr>
            <w:vAlign w:val="center"/>
            <w:tcW w:w="368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Workcell kommissionieren; nicht im gateway erzwingen</w:t>
            </w:r>
          </w:p>
        </w:tc>
      </w:tr>
      <w:tr>
        <w:trPr>
          <w:cantSplit/>
        </w:trPr>
        <w:tc>
          <w:tcPr>
            <w:vAlign w:val="center"/>
            <w:tcW w:w="22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DATAHUB unavailable/dead letters</w:t>
            </w:r>
          </w:p>
        </w:tc>
        <w:tc>
          <w:tcPr>
            <w:vAlign w:val="center"/>
            <w:tcW w:w="343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Endpoint/TLS/Auth, Outboxkapazität, 4xx</w:t>
            </w:r>
          </w:p>
        </w:tc>
        <w:tc>
          <w:tcPr>
            <w:vAlign w:val="center"/>
            <w:tcW w:w="368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Credentials/Schema/Dataset-Zuordnung prüfen; Replay idempotent</w:t>
            </w:r>
          </w:p>
        </w:tc>
      </w:tr>
      <w:tr>
        <w:trPr>
          <w:cantSplit/>
        </w:trPr>
        <w:tc>
          <w:tcPr>
            <w:vAlign w:val="center"/>
            <w:tcW w:w="22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OTA ERROR</w:t>
            </w:r>
          </w:p>
        </w:tc>
        <w:tc>
          <w:tcPr>
            <w:vAlign w:val="center"/>
            <w:tcW w:w="343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TLS/Host/Manifest/HMAC/Size/SHA/ZIP/Backup</w:t>
            </w:r>
          </w:p>
        </w:tc>
        <w:tc>
          <w:tcPr>
            <w:vAlign w:val="center"/>
            <w:tcW w:w="368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Release zurückziehen oder korrekt signieren; niemals unsigned installieren</w:t>
            </w:r>
          </w:p>
        </w:tc>
      </w:tr>
      <w:tr>
        <w:trPr>
          <w:cantSplit/>
        </w:trPr>
        <w:tc>
          <w:tcPr>
            <w:vAlign w:val="center"/>
            <w:tcW w:w="22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Touch falsch</w:t>
            </w:r>
          </w:p>
        </w:tc>
        <w:tc>
          <w:tcPr>
            <w:vAlign w:val="center"/>
            <w:tcW w:w="343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QDTECH Device Mapping, HDMI-A-2, labwc config</w:t>
            </w:r>
          </w:p>
        </w:tc>
        <w:tc>
          <w:tcPr>
            <w:vAlign w:val="center"/>
            <w:tcW w:w="368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Kiosk-Konfigurator am Displayuser erneut validieren; kein Desktop-Mapping raten</w:t>
            </w:r>
          </w:p>
        </w:tc>
      </w:tr>
      <w:tr>
        <w:trPr>
          <w:cantSplit/>
        </w:trPr>
        <w:tc>
          <w:tcPr>
            <w:vAlign w:val="center"/>
            <w:tcW w:w="2250" w:type="dxa"/>
            <w:tcMar>
              <w:top w:w="80" w:type="dxa"/>
              <w:bottom w:w="80" w:type="dxa"/>
              <w:start w:w="120" w:type="dxa"/>
              <w:end w:w="120" w:type="dxa"/>
            </w:tcMar>
          </w:tcPr>
          <w:p>
            <w:pPr>
              <w:spacing w:before="0" w:after="0" w:line="259" w:lineRule="auto"/>
              <w:jc w:val="center"/>
            </w:pPr>
            <w:r>
              <w:rPr>
                <w:rFonts w:ascii="Calibri" w:hAnsi="Calibri" w:eastAsia="Calibri"/>
                <w:color w:val="17202A"/>
                <w:sz w:val="16"/>
              </w:rPr>
              <w:t>UI schwarz/crash</w:t>
            </w:r>
          </w:p>
        </w:tc>
        <w:tc>
          <w:tcPr>
            <w:vAlign w:val="center"/>
            <w:tcW w:w="343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labcobot-lvgl Journal, DISPLAY=:0, Xauthority, SDL=x11</w:t>
            </w:r>
          </w:p>
        </w:tc>
        <w:tc>
          <w:tcPr>
            <w:vAlign w:val="center"/>
            <w:tcW w:w="368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Dienst kontrolliert restarten; X11-Pfad beibehalten, bis Wayland neu hardwaregetestet</w:t>
            </w:r>
          </w:p>
        </w:tc>
      </w:tr>
    </w:tbl>
    <w:p>
      <w:pPr>
        <w:spacing w:before="80" w:after="80"/>
      </w:pPr>
    </w:p>
    <w:p>
      <w:pPr>
        <w:pStyle w:val="CalloutSuccess"/>
      </w:pPr>
      <w:r>
        <w:rPr>
          <w:rFonts w:ascii="Calibri" w:hAnsi="Calibri" w:eastAsia="Calibri"/>
          <w:b/>
          <w:color w:val="1B6B50"/>
          <w:sz w:val="21"/>
        </w:rPr>
        <w:t xml:space="preserve">Software-Abnahme: </w:t>
      </w:r>
      <w:r>
        <w:rPr>
          <w:rFonts w:ascii="Calibri" w:hAnsi="Calibri" w:eastAsia="Calibri"/>
          <w:color w:val="1B6B50"/>
          <w:sz w:val="21"/>
        </w:rPr>
        <w:t>Der zusammengeführte Operations-/LVGL-/Backend-Stand bestand 1.024 von 1.024 Repositorytests. Das ist Softwareevidenz, keine physische Motion-Kommissionierung und kein Nachweis, dass dieser Stand bereits auf dem Raspberry Pi installiert ist.</w:t>
      </w:r>
    </w:p>
    <w:p>
      <w:pPr>
        <w:pStyle w:val="Heading1"/>
      </w:pPr>
      <w:r>
        <w:t>15  EU-Ökodesign-Verordnung (EU) 2024/1781 / ESPR</w:t>
      </w:r>
    </w:p>
    <w:p>
      <w:pPr>
        <w:pStyle w:val="CalloutWarning"/>
      </w:pPr>
      <w:r>
        <w:rPr>
          <w:rFonts w:ascii="Calibri" w:hAnsi="Calibri" w:eastAsia="Calibri"/>
          <w:b/>
          <w:color w:val="7A5A00"/>
          <w:sz w:val="21"/>
        </w:rPr>
        <w:t xml:space="preserve">Rechtsstatus: </w:t>
      </w:r>
      <w:r>
        <w:rPr>
          <w:rFonts w:ascii="Calibri" w:hAnsi="Calibri" w:eastAsia="Calibri"/>
          <w:color w:val="7A5A00"/>
          <w:sz w:val="21"/>
        </w:rPr>
        <w:t>Dieses Kapitel ist eine technische Readiness-Einordnung zum 13.08.2026 und keine Rechtsberatung. Wirtschaftsakteurrolle, intendierte Verwendung, Produktgruppe, KN-Code und anwendbare Rechtsakte müssen für jedes konkrete AINA-System formal geprüft werden.</w:t>
      </w:r>
    </w:p>
    <w:p>
      <w:pPr>
        <w:pStyle w:val="Heading2"/>
      </w:pPr>
      <w:r>
        <w:t>15.1  Rahmen und AINA-Abgrenzung</w:t>
      </w:r>
    </w:p>
    <w:p>
      <w:pPr>
        <w:spacing w:before="0" w:after="120"/>
      </w:pPr>
      <w:r>
        <w:rPr>
          <w:rFonts w:ascii="Calibri" w:hAnsi="Calibri" w:eastAsia="Calibri"/>
          <w:b w:val="0"/>
          <w:i w:val="0"/>
          <w:color w:val="17202A"/>
          <w:sz w:val="22"/>
        </w:rPr>
        <w:t>Die Verordnung (EU) 2024/1781 ist am 18.07.2024 in Kraft getreten. Sie schafft einen Rahmen für Ökodesign-Anforderungen, den Digitalen Produktpass, nachhaltige öffentliche Beschaffung und unverkaufte Produkte. Artikel 1 erfasst grundsätzlich physische Waren einschließlich Bauteilen und Zwischenprodukten. Konkrete Leistungs-, Informations- oder DPP-Pflichten entstehen für eine Produktgruppe aber erst durch einen anwendbaren delegierten Rechtsakt nach Artikel 4 oder fortgeltendes produktspezifisches Ökodesignrecht.</w:t>
      </w:r>
    </w:p>
    <w:p>
      <w:pPr>
        <w:pStyle w:val="ListBullet"/>
      </w:pPr>
      <w:r>
        <w:rPr>
          <w:rFonts w:ascii="Calibri" w:hAnsi="Calibri" w:eastAsia="Calibri"/>
          <w:color w:val="17202A"/>
          <w:sz w:val="22"/>
        </w:rPr>
        <w:tab/>
        <w:t>AINA ist als physisches Robotik-/Labor-Gateway nicht offensichtlich von den allgemeinen Ausnahmen ausgenommen.</w:t>
      </w:r>
    </w:p>
    <w:p>
      <w:pPr>
        <w:pStyle w:val="ListBullet"/>
      </w:pPr>
      <w:r>
        <w:rPr>
          <w:rFonts w:ascii="Calibri" w:hAnsi="Calibri" w:eastAsia="Calibri"/>
          <w:color w:val="17202A"/>
          <w:sz w:val="22"/>
        </w:rPr>
        <w:tab/>
        <w:t>Der Arbeitsplan 2025-2030 nennt keinen ausdrücklich auf Industrieroboter oder Laborautomations-Gateways gerichteten Rechtsakt.</w:t>
      </w:r>
    </w:p>
    <w:p>
      <w:pPr>
        <w:pStyle w:val="ListBullet"/>
      </w:pPr>
      <w:r>
        <w:rPr>
          <w:rFonts w:ascii="Calibri" w:hAnsi="Calibri" w:eastAsia="Calibri"/>
          <w:color w:val="17202A"/>
          <w:sz w:val="22"/>
        </w:rPr>
        <w:tab/>
        <w:t>Display, Motor, Stromversorgung, E/E-Komponenten und separat bereitgestellte Ersatzteile sind jeweils separat zu klassifizieren.</w:t>
      </w:r>
    </w:p>
    <w:p>
      <w:pPr>
        <w:pStyle w:val="ListBullet"/>
      </w:pPr>
      <w:r>
        <w:rPr>
          <w:rFonts w:ascii="Calibri" w:hAnsi="Calibri" w:eastAsia="Calibri"/>
          <w:color w:val="17202A"/>
          <w:sz w:val="22"/>
        </w:rPr>
        <w:tab/>
        <w:t>Fehlende ausdrückliche Priorisierung ist keine dauerhafte Ausnahme; umgekehrt belegt der Rahmen keine konkrete AINA-DPP-Pflicht.</w:t>
      </w:r>
    </w:p>
    <w:p>
      <w:pPr>
        <w:pStyle w:val="ListBullet"/>
      </w:pPr>
      <w:r>
        <w:rPr>
          <w:rFonts w:ascii="Calibri" w:hAnsi="Calibri" w:eastAsia="Calibri"/>
          <w:color w:val="17202A"/>
          <w:sz w:val="22"/>
        </w:rPr>
        <w:tab/>
        <w:t>Bis zur formalen Einstufung ist ausschließlich die Formulierung ESPR-Readiness zulässig, nicht ESPR-konform.</w:t>
      </w:r>
    </w:p>
    <w:p>
      <w:pPr>
        <w:pStyle w:val="Heading2"/>
      </w:pPr>
      <w:r>
        <w:t>15.2  Wirtschaftsakteurrolle</w:t>
      </w:r>
    </w:p>
    <w:tbl>
      <w:tblPr>
        <w:tblStyle w:val="TableGrid"/>
        <w:jc w:val="left"/>
        <w:tblLook w:firstColumn="1" w:firstRow="1" w:lastColumn="0" w:lastRow="0" w:noHBand="0" w:noVBand="1" w:val="04A0"/>
        <w:tblW w:w="9360" w:type="dxa"/>
        <w:tblInd w:w="120" w:type="dxa"/>
        <w:tblLayout w:type="fixed"/>
      </w:tblPr>
      <w:tblGrid>
        <w:gridCol w:w="3600"/>
        <w:gridCol w:w="5760"/>
      </w:tblGrid>
      <w:tr>
        <w:trPr>
          <w:tblHeader w:val="true"/>
        </w:trPr>
        <w:tc>
          <w:tcPr>
            <w:shd w:fill="E8EEF5"/>
            <w:vAlign w:val="center"/>
            <w:tcW w:w="3600" w:type="dxa"/>
            <w:tcMar>
              <w:top w:w="80" w:type="dxa"/>
              <w:bottom w:w="80" w:type="dxa"/>
              <w:start w:w="120" w:type="dxa"/>
              <w:end w:w="120" w:type="dxa"/>
            </w:tcMar>
          </w:tcPr>
          <w:p>
            <w:pPr>
              <w:spacing w:before="20" w:after="20"/>
              <w:jc w:val="center"/>
            </w:pPr>
            <w:r>
              <w:rPr>
                <w:rFonts w:ascii="Calibri" w:hAnsi="Calibri" w:eastAsia="Calibri"/>
                <w:b/>
                <w:color w:val="203748"/>
                <w:sz w:val="17"/>
              </w:rPr>
              <w:t>Prüffrage</w:t>
            </w:r>
          </w:p>
        </w:tc>
        <w:tc>
          <w:tcPr>
            <w:shd w:fill="E8EEF5"/>
            <w:vAlign w:val="center"/>
            <w:tcW w:w="5760" w:type="dxa"/>
            <w:tcMar>
              <w:top w:w="80" w:type="dxa"/>
              <w:bottom w:w="80" w:type="dxa"/>
              <w:start w:w="120" w:type="dxa"/>
              <w:end w:w="120" w:type="dxa"/>
            </w:tcMar>
          </w:tcPr>
          <w:p>
            <w:pPr>
              <w:spacing w:before="20" w:after="20"/>
              <w:jc w:val="center"/>
            </w:pPr>
            <w:r>
              <w:rPr>
                <w:rFonts w:ascii="Calibri" w:hAnsi="Calibri" w:eastAsia="Calibri"/>
                <w:b/>
                <w:color w:val="203748"/>
                <w:sz w:val="17"/>
              </w:rPr>
              <w:t>Erforderliche Evidenz</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Herstellung / Auftrag</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Verträge, Stückliste, Herstellerkennzeichnung</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Name oder Marke</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Typenschild, Angebot, Produktunterlagen</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Einfuhr</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Lieferkette, Zoll- und Importeurunterlagen</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Konformitätsrelevante Änderung</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Änderungsakte und Risikobeurteilung</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B2B / Verbraucherprodukt</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bestimmungsgemäße Verwendung und Vertriebsweg</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Separate Komponenten</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Ersatzteil-/Zubehörkatalog und KN-Klassifikation</w:t>
            </w:r>
          </w:p>
        </w:tc>
      </w:tr>
    </w:tbl>
    <w:p>
      <w:pPr>
        <w:spacing w:before="80" w:after="80"/>
      </w:pPr>
    </w:p>
    <w:p>
      <w:pPr>
        <w:spacing w:before="0" w:after="120"/>
      </w:pPr>
      <w:r>
        <w:rPr>
          <w:rFonts w:ascii="Calibri" w:hAnsi="Calibri" w:eastAsia="Calibri"/>
          <w:b w:val="0"/>
          <w:i w:val="0"/>
          <w:color w:val="17202A"/>
          <w:sz w:val="22"/>
        </w:rPr>
        <w:t>Artikel 27 bis 34 verteilen Pflichten auf Hersteller, Bevollmächtigte, Einführer, Händler, Verkäufer und Fulfilment-Dienstleister. Wer das Produkt unter eigenem Namen oder eigener Marke bereitstellt oder konformitätsrelevant verändert, kann Herstellerpflichten übernehmen. Die Rollenentscheidung ist vor Marktzugang, wesentlicher Änderung und Lieferantenwechsel neu zu bestätigen.</w:t>
      </w:r>
    </w:p>
    <w:p>
      <w:pPr>
        <w:pStyle w:val="Heading2"/>
      </w:pPr>
      <w:r>
        <w:t>15.3  Ökodesign- und Informationsaspekte</w:t>
      </w:r>
    </w:p>
    <w:p>
      <w:pPr>
        <w:pStyle w:val="ListBullet"/>
      </w:pPr>
      <w:r>
        <w:rPr>
          <w:rFonts w:ascii="Calibri" w:hAnsi="Calibri" w:eastAsia="Calibri"/>
          <w:color w:val="17202A"/>
          <w:sz w:val="22"/>
        </w:rPr>
        <w:tab/>
        <w:t>Haltbarkeit, Zuverlässigkeit, Wartbarkeit, Reparierbarkeit und Nachrüstbarkeit</w:t>
      </w:r>
    </w:p>
    <w:p>
      <w:pPr>
        <w:pStyle w:val="ListBullet"/>
      </w:pPr>
      <w:r>
        <w:rPr>
          <w:rFonts w:ascii="Calibri" w:hAnsi="Calibri" w:eastAsia="Calibri"/>
          <w:color w:val="17202A"/>
          <w:sz w:val="22"/>
        </w:rPr>
        <w:tab/>
        <w:t>Energie-, Wasser- und Ressourceneffizienz</w:t>
      </w:r>
    </w:p>
    <w:p>
      <w:pPr>
        <w:pStyle w:val="ListBullet"/>
      </w:pPr>
      <w:r>
        <w:rPr>
          <w:rFonts w:ascii="Calibri" w:hAnsi="Calibri" w:eastAsia="Calibri"/>
          <w:color w:val="17202A"/>
          <w:sz w:val="22"/>
        </w:rPr>
        <w:tab/>
        <w:t>Stoffe, Recyclinganteil, Rezyklierbarkeit, Materialrückgewinnung und Abfall</w:t>
      </w:r>
    </w:p>
    <w:p>
      <w:pPr>
        <w:pStyle w:val="ListBullet"/>
      </w:pPr>
      <w:r>
        <w:rPr>
          <w:rFonts w:ascii="Calibri" w:hAnsi="Calibri" w:eastAsia="Calibri"/>
          <w:color w:val="17202A"/>
          <w:sz w:val="22"/>
        </w:rPr>
        <w:tab/>
        <w:t>Umwelt- und CO2-Fußabdruck</w:t>
      </w:r>
    </w:p>
    <w:p>
      <w:pPr>
        <w:pStyle w:val="ListBullet"/>
      </w:pPr>
      <w:r>
        <w:rPr>
          <w:rFonts w:ascii="Calibri" w:hAnsi="Calibri" w:eastAsia="Calibri"/>
          <w:color w:val="17202A"/>
          <w:sz w:val="22"/>
        </w:rPr>
        <w:tab/>
        <w:t>Ersatzteil-, Reparatur-, Software- und Updateverfügbarkeit</w:t>
      </w:r>
    </w:p>
    <w:p>
      <w:pPr>
        <w:pStyle w:val="ListBullet"/>
      </w:pPr>
      <w:r>
        <w:rPr>
          <w:rFonts w:ascii="Calibri" w:hAnsi="Calibri" w:eastAsia="Calibri"/>
          <w:color w:val="17202A"/>
          <w:sz w:val="22"/>
        </w:rPr>
        <w:tab/>
        <w:t>Vermeidung vorzeitiger Obsoleszenz</w:t>
      </w:r>
    </w:p>
    <w:p>
      <w:pPr>
        <w:pStyle w:val="CalloutNote"/>
      </w:pPr>
      <w:r>
        <w:rPr>
          <w:rFonts w:ascii="Calibri" w:hAnsi="Calibri" w:eastAsia="Calibri"/>
          <w:b/>
          <w:color w:val="1F4D78"/>
          <w:sz w:val="21"/>
        </w:rPr>
        <w:t xml:space="preserve">Rechtsakt-Matrix: </w:t>
      </w:r>
      <w:r>
        <w:rPr>
          <w:rFonts w:ascii="Calibri" w:hAnsi="Calibri" w:eastAsia="Calibri"/>
          <w:color w:val="1F4D78"/>
          <w:sz w:val="21"/>
        </w:rPr>
        <w:t>Produktgruppe, KN-Code, Rechtsakt, Geltungsbeginn, Messmethode, Leistungsanforderung, Informationsanforderung, DPP-Pflicht und verantwortliche Rolle werden versioniert geführt. Leere Felder sind offene Aufgaben und niemals automatisch nicht anwendbar.</w:t>
      </w:r>
    </w:p>
    <w:p>
      <w:pPr>
        <w:pStyle w:val="Heading2"/>
      </w:pPr>
      <w:r>
        <w:t>15.4  Digitaler Produktpass</w:t>
      </w:r>
    </w:p>
    <w:p>
      <w:pPr>
        <w:spacing w:before="0" w:after="120"/>
      </w:pPr>
      <w:r>
        <w:rPr>
          <w:rFonts w:ascii="Calibri" w:hAnsi="Calibri" w:eastAsia="Calibri"/>
          <w:b w:val="0"/>
          <w:i w:val="0"/>
          <w:color w:val="17202A"/>
          <w:sz w:val="22"/>
        </w:rPr>
        <w:t>Artikel 9 bis 15 bilden den DPP-Rahmen. Der anwendbare delegierte Rechtsakt bestimmt Ebene, Datenträger, Datenumfang, Zugriffsrechte und Aufbewahrungsdauer. Die Durchführungsverordnung (EU) 2026/1778 regelt seit 06.08.2026 das DPP-Register, macht einen DPP jedoch nicht automatisch für jede Produktgruppe verbindlich. Der Durchführungsbeschluss (EU) 2026/1736 veröffentlicht die Referenzen der harmonisierten Normen EN 18216:2026, EN 18219:2026, EN 18220:2026, EN 18221:2026, EN 18222:2026 und EN 18223:2026 für Datenaustausch, Kennungen, Datenträger, Speicherung, Lifecycle-APIs und Interoperabilität. Die Konformitätsvermutung gilt nur für die von ihnen abgedeckten Anforderungen der Artikel 10 und 11.</w:t>
      </w:r>
    </w:p>
    <w:tbl>
      <w:tblPr>
        <w:tblStyle w:val="TableGrid"/>
        <w:jc w:val="left"/>
        <w:tblLook w:firstColumn="1" w:firstRow="1" w:lastColumn="0" w:lastRow="0" w:noHBand="0" w:noVBand="1" w:val="04A0"/>
        <w:tblW w:w="9360" w:type="dxa"/>
        <w:tblInd w:w="120" w:type="dxa"/>
        <w:tblLayout w:type="fixed"/>
      </w:tblPr>
      <w:tblGrid>
        <w:gridCol w:w="2850"/>
        <w:gridCol w:w="6510"/>
      </w:tblGrid>
      <w:tr>
        <w:trPr>
          <w:tblHeader w:val="true"/>
        </w:trPr>
        <w:tc>
          <w:tcPr>
            <w:shd w:fill="E8EEF5"/>
            <w:vAlign w:val="center"/>
            <w:tcW w:w="2850" w:type="dxa"/>
            <w:tcMar>
              <w:top w:w="80" w:type="dxa"/>
              <w:bottom w:w="80" w:type="dxa"/>
              <w:start w:w="120" w:type="dxa"/>
              <w:end w:w="120" w:type="dxa"/>
            </w:tcMar>
          </w:tcPr>
          <w:p>
            <w:pPr>
              <w:spacing w:before="20" w:after="20"/>
              <w:jc w:val="center"/>
            </w:pPr>
            <w:r>
              <w:rPr>
                <w:rFonts w:ascii="Calibri" w:hAnsi="Calibri" w:eastAsia="Calibri"/>
                <w:b/>
                <w:color w:val="203748"/>
                <w:sz w:val="17"/>
              </w:rPr>
              <w:t>Readiness-Datengruppe</w:t>
            </w:r>
          </w:p>
        </w:tc>
        <w:tc>
          <w:tcPr>
            <w:shd w:fill="E8EEF5"/>
            <w:vAlign w:val="center"/>
            <w:tcW w:w="6510" w:type="dxa"/>
            <w:tcMar>
              <w:top w:w="80" w:type="dxa"/>
              <w:bottom w:w="80" w:type="dxa"/>
              <w:start w:w="120" w:type="dxa"/>
              <w:end w:w="120" w:type="dxa"/>
            </w:tcMar>
          </w:tcPr>
          <w:p>
            <w:pPr>
              <w:spacing w:before="20" w:after="20"/>
              <w:jc w:val="center"/>
            </w:pPr>
            <w:r>
              <w:rPr>
                <w:rFonts w:ascii="Calibri" w:hAnsi="Calibri" w:eastAsia="Calibri"/>
                <w:b/>
                <w:color w:val="203748"/>
                <w:sz w:val="17"/>
              </w:rPr>
              <w:t>AINA-Nachweis</w:t>
            </w:r>
          </w:p>
        </w:tc>
      </w:tr>
      <w:tr>
        <w:trPr>
          <w:cantSplit/>
        </w:trPr>
        <w:tc>
          <w:tcPr>
            <w:vAlign w:val="center"/>
            <w:tcW w:w="28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Produkt</w:t>
            </w:r>
          </w:p>
        </w:tc>
        <w:tc>
          <w:tcPr>
            <w:vAlign w:val="center"/>
            <w:tcW w:w="65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Modell, Seriennummer, Hardware-Revision, signierte Softwareversion</w:t>
            </w:r>
          </w:p>
        </w:tc>
      </w:tr>
      <w:tr>
        <w:trPr>
          <w:cantSplit/>
        </w:trPr>
        <w:tc>
          <w:tcPr>
            <w:vAlign w:val="center"/>
            <w:tcW w:w="28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Wirtschaftsakteur</w:t>
            </w:r>
          </w:p>
        </w:tc>
        <w:tc>
          <w:tcPr>
            <w:vAlign w:val="center"/>
            <w:tcW w:w="65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formal entschiedene Rolle und zulässige eindeutige Kennung</w:t>
            </w:r>
          </w:p>
        </w:tc>
      </w:tr>
      <w:tr>
        <w:trPr>
          <w:cantSplit/>
        </w:trPr>
        <w:tc>
          <w:tcPr>
            <w:vAlign w:val="center"/>
            <w:tcW w:w="28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Zusammensetzung</w:t>
            </w:r>
          </w:p>
        </w:tc>
        <w:tc>
          <w:tcPr>
            <w:vAlign w:val="center"/>
            <w:tcW w:w="65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versionierte Stückliste, Material-/Stoffnachweise</w:t>
            </w:r>
          </w:p>
        </w:tc>
      </w:tr>
      <w:tr>
        <w:trPr>
          <w:cantSplit/>
        </w:trPr>
        <w:tc>
          <w:tcPr>
            <w:vAlign w:val="center"/>
            <w:tcW w:w="28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Lebenszyklus</w:t>
            </w:r>
          </w:p>
        </w:tc>
        <w:tc>
          <w:tcPr>
            <w:vAlign w:val="center"/>
            <w:tcW w:w="65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Herstellungsdatum, erwartete Lebensdauer, Wartung, Ersatzteile</w:t>
            </w:r>
          </w:p>
        </w:tc>
      </w:tr>
      <w:tr>
        <w:trPr>
          <w:cantSplit/>
        </w:trPr>
        <w:tc>
          <w:tcPr>
            <w:vAlign w:val="center"/>
            <w:tcW w:w="28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Software</w:t>
            </w:r>
          </w:p>
        </w:tc>
        <w:tc>
          <w:tcPr>
            <w:vAlign w:val="center"/>
            <w:tcW w:w="65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Supportzeitraum, signierte Releases, Update-Wirkungsakte</w:t>
            </w:r>
          </w:p>
        </w:tc>
      </w:tr>
      <w:tr>
        <w:trPr>
          <w:cantSplit/>
        </w:trPr>
        <w:tc>
          <w:tcPr>
            <w:vAlign w:val="center"/>
            <w:tcW w:w="28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End-of-Life</w:t>
            </w:r>
          </w:p>
        </w:tc>
        <w:tc>
          <w:tcPr>
            <w:vAlign w:val="center"/>
            <w:tcW w:w="65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Demontage, Reparatur, Wiederverwendung und Recycling</w:t>
            </w:r>
          </w:p>
        </w:tc>
      </w:tr>
      <w:tr>
        <w:trPr>
          <w:cantSplit/>
        </w:trPr>
        <w:tc>
          <w:tcPr>
            <w:vAlign w:val="center"/>
            <w:tcW w:w="285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Evidenz</w:t>
            </w:r>
          </w:p>
        </w:tc>
        <w:tc>
          <w:tcPr>
            <w:vAlign w:val="center"/>
            <w:tcW w:w="651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unveränderliche Dokumentdigests und Rechtsakt-Matrix</w:t>
            </w:r>
          </w:p>
        </w:tc>
      </w:tr>
    </w:tbl>
    <w:p>
      <w:pPr>
        <w:spacing w:before="80" w:after="80"/>
      </w:pPr>
    </w:p>
    <w:p>
      <w:pPr>
        <w:pStyle w:val="ListBullet"/>
      </w:pPr>
      <w:r>
        <w:rPr>
          <w:rFonts w:ascii="Calibri" w:hAnsi="Calibri" w:eastAsia="Calibri"/>
          <w:color w:val="17202A"/>
          <w:sz w:val="22"/>
        </w:rPr>
        <w:tab/>
        <w:t>Daten müssen richtig, vollständig, aktuell, maschinenlesbar und interoperabel sein.</w:t>
      </w:r>
    </w:p>
    <w:p>
      <w:pPr>
        <w:pStyle w:val="ListBullet"/>
      </w:pPr>
      <w:r>
        <w:rPr>
          <w:rFonts w:ascii="Calibri" w:hAnsi="Calibri" w:eastAsia="Calibri"/>
          <w:color w:val="17202A"/>
          <w:sz w:val="22"/>
        </w:rPr>
        <w:tab/>
        <w:t>Zugriff, Schreibrechte, Integrität, Datenschutz, Betrugsschutz, Backup und Anbieterwechsel sind nachzuweisen.</w:t>
      </w:r>
    </w:p>
    <w:p>
      <w:pPr>
        <w:pStyle w:val="ListBullet"/>
      </w:pPr>
      <w:r>
        <w:rPr>
          <w:rFonts w:ascii="Calibri" w:hAnsi="Calibri" w:eastAsia="Calibri"/>
          <w:color w:val="17202A"/>
          <w:sz w:val="22"/>
        </w:rPr>
        <w:tab/>
        <w:t>Ein DPP ist kein Telemetriedump; Personen- und Nutzungsdaten brauchen eine eigene Rechtsgrundlage.</w:t>
      </w:r>
    </w:p>
    <w:p>
      <w:pPr>
        <w:pStyle w:val="ListBullet"/>
      </w:pPr>
      <w:r>
        <w:rPr>
          <w:rFonts w:ascii="Calibri" w:hAnsi="Calibri" w:eastAsia="Calibri"/>
          <w:color w:val="17202A"/>
          <w:sz w:val="22"/>
        </w:rPr>
        <w:tab/>
        <w:t>Eine DPP-Registrierungskennung ist kein Konformitätsnachweis.</w:t>
      </w:r>
    </w:p>
    <w:p>
      <w:pPr>
        <w:pStyle w:val="Heading2"/>
      </w:pPr>
      <w:r>
        <w:t>15.5  Software, Firmware und OTA</w:t>
      </w:r>
    </w:p>
    <w:p>
      <w:pPr>
        <w:spacing w:before="0" w:after="120"/>
      </w:pPr>
      <w:r>
        <w:rPr>
          <w:rFonts w:ascii="Calibri" w:hAnsi="Calibri" w:eastAsia="Calibri"/>
          <w:b w:val="0"/>
          <w:i w:val="0"/>
          <w:color w:val="17202A"/>
          <w:sz w:val="22"/>
        </w:rPr>
        <w:t>Artikel 5 Absatz 2 adressiert softwarebedingte vorzeitige Obsoleszenz. Artikel 40 Absatz 5 begrenzt bei erfassten Produkten Leistungsverschlechterungen durch Software-/Firmwareupdates. Für jedes AINA-Release werden daher betroffene Produktserien, Änderung, Security-/Safety-Auswirkung, Leistungs-/Ressourcenauswirkung, DPP-Änderung, Rollbacktest, Supportzeitraum und Konformitäts-Reassessment dokumentiert.</w:t>
      </w:r>
    </w:p>
    <w:p>
      <w:pPr>
        <w:pStyle w:val="CalloutSuccess"/>
      </w:pPr>
      <w:r>
        <w:rPr>
          <w:rFonts w:ascii="Calibri" w:hAnsi="Calibri" w:eastAsia="Calibri"/>
          <w:b/>
          <w:color w:val="1B6B50"/>
          <w:sz w:val="21"/>
        </w:rPr>
        <w:t xml:space="preserve">Bestehende Readiness: </w:t>
      </w:r>
      <w:r>
        <w:rPr>
          <w:rFonts w:ascii="Calibri" w:hAnsi="Calibri" w:eastAsia="Calibri"/>
          <w:color w:val="1B6B50"/>
          <w:sz w:val="21"/>
        </w:rPr>
        <w:t>Signierte Metadaten, Digest-/Größenprüfung, eindeutige Updateidentität, sichere Extraktion, Boot-Health, Rollback und unveränderliche Releaseevidenz unterstützen die ESPR-Readiness. Sie sind allein kein ESPR-Konformitätsnachweis.</w:t>
      </w:r>
    </w:p>
    <w:p>
      <w:pPr>
        <w:pStyle w:val="Heading2"/>
      </w:pPr>
      <w:r>
        <w:t>15.6  Lebenszyklus und unverkaufte Produkte</w:t>
      </w:r>
    </w:p>
    <w:p>
      <w:pPr>
        <w:pStyle w:val="ListBullet"/>
      </w:pPr>
      <w:r>
        <w:rPr>
          <w:rFonts w:ascii="Calibri" w:hAnsi="Calibri" w:eastAsia="Calibri"/>
          <w:color w:val="17202A"/>
          <w:sz w:val="22"/>
        </w:rPr>
        <w:tab/>
        <w:t>Versionierte Stückliste, Austauschbarkeit und Ersatzteilverfügbarkeit pflegen.</w:t>
      </w:r>
    </w:p>
    <w:p>
      <w:pPr>
        <w:pStyle w:val="ListBullet"/>
      </w:pPr>
      <w:r>
        <w:rPr>
          <w:rFonts w:ascii="Calibri" w:hAnsi="Calibri" w:eastAsia="Calibri"/>
          <w:color w:val="17202A"/>
          <w:sz w:val="22"/>
        </w:rPr>
        <w:tab/>
        <w:t>Demontage, Diagnose, Reparatur, Kalibrierung, Migration und sichere Entsorgung dokumentieren.</w:t>
      </w:r>
    </w:p>
    <w:p>
      <w:pPr>
        <w:pStyle w:val="ListBullet"/>
      </w:pPr>
      <w:r>
        <w:rPr>
          <w:rFonts w:ascii="Calibri" w:hAnsi="Calibri" w:eastAsia="Calibri"/>
          <w:color w:val="17202A"/>
          <w:sz w:val="22"/>
        </w:rPr>
        <w:tab/>
        <w:t>Retouren vor Entsorgung auf Reparatur, Wiederverwendung, Refurbishment und Ersatzteilgewinnung prüfen.</w:t>
      </w:r>
    </w:p>
    <w:p>
      <w:pPr>
        <w:pStyle w:val="ListBullet"/>
      </w:pPr>
      <w:r>
        <w:rPr>
          <w:rFonts w:ascii="Calibri" w:hAnsi="Calibri" w:eastAsia="Calibri"/>
          <w:color w:val="17202A"/>
          <w:sz w:val="22"/>
        </w:rPr>
        <w:tab/>
        <w:t>Menge, Gewicht, Grund und Behandlung entsorgter Geräte nachvollziehbar dokumentieren.</w:t>
      </w:r>
    </w:p>
    <w:p>
      <w:pPr>
        <w:pStyle w:val="ListBullet"/>
      </w:pPr>
      <w:r>
        <w:rPr>
          <w:rFonts w:ascii="Calibri" w:hAnsi="Calibri" w:eastAsia="Calibri"/>
          <w:color w:val="17202A"/>
          <w:sz w:val="22"/>
        </w:rPr>
        <w:tab/>
        <w:t>B2B-/Verbraucherprodukteinordnung, KN-Code und Unternehmensgrößenabhängigkeit jährlich prüfen.</w:t>
      </w:r>
    </w:p>
    <w:p>
      <w:pPr>
        <w:spacing w:before="0" w:after="120"/>
      </w:pPr>
      <w:r>
        <w:rPr>
          <w:rFonts w:ascii="Calibri" w:hAnsi="Calibri" w:eastAsia="Calibri"/>
          <w:b w:val="0"/>
          <w:i w:val="0"/>
          <w:color w:val="17202A"/>
          <w:sz w:val="22"/>
        </w:rPr>
        <w:t>Die Durchführungsverordnung (EU) 2026/2 legt ab 02.03.2027 Format und Nachweisaufbewahrung für die Offenlegung entsorgter unverkaufter Verbraucherprodukte fest. Das anfängliche Vernichtungsverbot betrifft seit 19.07.2026 bestimmte Bekleidung und Schuhe; die Delegierte Verordnung (EU) 2026/296 konkretisiert Ausnahmen. AINA ist darin nicht ausdrücklich genannt, die Einordnung ist dennoch formal zu dokumentieren.</w:t>
      </w:r>
    </w:p>
    <w:p>
      <w:pPr>
        <w:pStyle w:val="Heading2"/>
      </w:pPr>
      <w:r>
        <w:t>15.7  Wiederkehrende ESPR-Readiness-Prüfung</w:t>
      </w:r>
    </w:p>
    <w:tbl>
      <w:tblPr>
        <w:tblStyle w:val="TableGrid"/>
        <w:jc w:val="left"/>
        <w:tblLook w:firstColumn="1" w:firstRow="1" w:lastColumn="0" w:lastRow="0" w:noHBand="0" w:noVBand="1" w:val="04A0"/>
        <w:tblW w:w="9360" w:type="dxa"/>
        <w:tblInd w:w="120" w:type="dxa"/>
        <w:tblLayout w:type="fixed"/>
      </w:tblPr>
      <w:tblGrid>
        <w:gridCol w:w="3600"/>
        <w:gridCol w:w="5760"/>
      </w:tblGrid>
      <w:tr>
        <w:trPr>
          <w:tblHeader w:val="true"/>
        </w:trPr>
        <w:tc>
          <w:tcPr>
            <w:shd w:fill="E8EEF5"/>
            <w:vAlign w:val="center"/>
            <w:tcW w:w="3600" w:type="dxa"/>
            <w:tcMar>
              <w:top w:w="80" w:type="dxa"/>
              <w:bottom w:w="80" w:type="dxa"/>
              <w:start w:w="120" w:type="dxa"/>
              <w:end w:w="120" w:type="dxa"/>
            </w:tcMar>
          </w:tcPr>
          <w:p>
            <w:pPr>
              <w:spacing w:before="20" w:after="20"/>
              <w:jc w:val="center"/>
            </w:pPr>
            <w:r>
              <w:rPr>
                <w:rFonts w:ascii="Calibri" w:hAnsi="Calibri" w:eastAsia="Calibri"/>
                <w:b/>
                <w:color w:val="203748"/>
                <w:sz w:val="17"/>
              </w:rPr>
              <w:t>Nachweis</w:t>
            </w:r>
          </w:p>
        </w:tc>
        <w:tc>
          <w:tcPr>
            <w:shd w:fill="E8EEF5"/>
            <w:vAlign w:val="center"/>
            <w:tcW w:w="5760" w:type="dxa"/>
            <w:tcMar>
              <w:top w:w="80" w:type="dxa"/>
              <w:bottom w:w="80" w:type="dxa"/>
              <w:start w:w="120" w:type="dxa"/>
              <w:end w:w="120" w:type="dxa"/>
            </w:tcMar>
          </w:tcPr>
          <w:p>
            <w:pPr>
              <w:spacing w:before="20" w:after="20"/>
              <w:jc w:val="center"/>
            </w:pPr>
            <w:r>
              <w:rPr>
                <w:rFonts w:ascii="Calibri" w:hAnsi="Calibri" w:eastAsia="Calibri"/>
                <w:b/>
                <w:color w:val="203748"/>
                <w:sz w:val="17"/>
              </w:rPr>
              <w:t>Freigabekriterium</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Rolle / KN / Produktgruppe</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signierte formale Entscheidung</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Rechtsakt-Matrix</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aktuell und auf Komponenten erweitert</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Stückliste / Materialien</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versioniert, Lieferantennachweise vorhanden</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Haltbarkeit / Reparatur / Ersatzteile</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begründet und veröffentlicht, soweit erforderlich</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Energie / Ressourcen</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Messplan und reproduzierbare Evidenz</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Software / OTA</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Supportpolicy und Release-Wirkungsakte</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DPP</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Pflicht bewertet; Daten-/Zugriffs-/Backupmodell geprüft</w:t>
            </w:r>
          </w:p>
        </w:tc>
      </w:tr>
      <w:tr>
        <w:trPr>
          <w:cantSplit/>
        </w:trPr>
        <w:tc>
          <w:tcPr>
            <w:vAlign w:val="center"/>
            <w:tcW w:w="36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End-of-Life</w:t>
            </w:r>
          </w:p>
        </w:tc>
        <w:tc>
          <w:tcPr>
            <w:vAlign w:val="center"/>
            <w:tcW w:w="57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Rücknahme-, Wiederverwendungs- und Recyclingweg</w:t>
            </w:r>
          </w:p>
        </w:tc>
      </w:tr>
    </w:tbl>
    <w:p>
      <w:pPr>
        <w:spacing w:before="80" w:after="80"/>
      </w:pPr>
    </w:p>
    <w:p>
      <w:pPr>
        <w:pStyle w:val="CalloutDanger"/>
      </w:pPr>
      <w:r>
        <w:rPr>
          <w:rFonts w:ascii="Calibri" w:hAnsi="Calibri" w:eastAsia="Calibri"/>
          <w:b/>
          <w:color w:val="9B1C1C"/>
          <w:sz w:val="21"/>
        </w:rPr>
        <w:t xml:space="preserve">Freigaberegel: </w:t>
      </w:r>
      <w:r>
        <w:rPr>
          <w:rFonts w:ascii="Calibri" w:hAnsi="Calibri" w:eastAsia="Calibri"/>
          <w:color w:val="9B1C1C"/>
          <w:sz w:val="21"/>
        </w:rPr>
        <w:t>Ein offener oder ungeprüfter Punkt blockiert jede Aussage ESPR-konform. Zulässig ist dann nur eine sachlich eingegrenzte Readiness-Aussage.</w:t>
      </w:r>
    </w:p>
    <w:p>
      <w:pPr>
        <w:pStyle w:val="Heading2"/>
      </w:pPr>
      <w:r>
        <w:t>15.8  Offizielle Quellen</w:t>
      </w:r>
    </w:p>
    <w:p>
      <w:pPr>
        <w:pStyle w:val="ListBullet"/>
      </w:pPr>
      <w:r>
        <w:rPr>
          <w:rFonts w:ascii="Calibri" w:hAnsi="Calibri" w:eastAsia="Calibri"/>
          <w:color w:val="17202A"/>
          <w:sz w:val="22"/>
        </w:rPr>
        <w:tab/>
        <w:t>Verordnung (EU) 2024/1781: https://eur-lex.europa.eu/eli/reg/2024/1781/oj?locale=de</w:t>
      </w:r>
    </w:p>
    <w:p>
      <w:pPr>
        <w:pStyle w:val="ListBullet"/>
      </w:pPr>
      <w:r>
        <w:rPr>
          <w:rFonts w:ascii="Calibri" w:hAnsi="Calibri" w:eastAsia="Calibri"/>
          <w:color w:val="17202A"/>
          <w:sz w:val="22"/>
        </w:rPr>
        <w:tab/>
        <w:t>ESPR-Arbeitsplan 2025-2030, COM(2025) 187 final: https://eur-lex.europa.eu/legal-content/DE/TXT/?uri=COM:2025:187:FIN</w:t>
      </w:r>
    </w:p>
    <w:p>
      <w:pPr>
        <w:pStyle w:val="ListBullet"/>
      </w:pPr>
      <w:r>
        <w:rPr>
          <w:rFonts w:ascii="Calibri" w:hAnsi="Calibri" w:eastAsia="Calibri"/>
          <w:color w:val="17202A"/>
          <w:sz w:val="22"/>
        </w:rPr>
        <w:tab/>
        <w:t>DPP-Register, Durchführungsverordnung (EU) 2026/1778: https://eur-lex.europa.eu/legal-content/DE/TXT/?uri=CELEX:32026R1778</w:t>
      </w:r>
    </w:p>
    <w:p>
      <w:pPr>
        <w:pStyle w:val="ListBullet"/>
      </w:pPr>
      <w:r>
        <w:rPr>
          <w:rFonts w:ascii="Calibri" w:hAnsi="Calibri" w:eastAsia="Calibri"/>
          <w:color w:val="17202A"/>
          <w:sz w:val="22"/>
        </w:rPr>
        <w:tab/>
        <w:t>Harmonisierte DPP-Normen, Durchführungsbeschluss (EU) 2026/1736: https://eur-lex.europa.eu/legal-content/DE/TXT/?uri=CELEX:32026D1736</w:t>
      </w:r>
    </w:p>
    <w:p>
      <w:pPr>
        <w:pStyle w:val="ListBullet"/>
      </w:pPr>
      <w:r>
        <w:rPr>
          <w:rFonts w:ascii="Calibri" w:hAnsi="Calibri" w:eastAsia="Calibri"/>
          <w:color w:val="17202A"/>
          <w:sz w:val="22"/>
        </w:rPr>
        <w:tab/>
        <w:t>Offenlegung unverkaufter Produkte, Durchführungsverordnung (EU) 2026/2: https://eur-lex.europa.eu/legal-content/DE/TXT/?uri=CELEX:32026R0002</w:t>
      </w:r>
    </w:p>
    <w:p>
      <w:pPr>
        <w:pStyle w:val="ListBullet"/>
      </w:pPr>
      <w:r>
        <w:rPr>
          <w:rFonts w:ascii="Calibri" w:hAnsi="Calibri" w:eastAsia="Calibri"/>
          <w:color w:val="17202A"/>
          <w:sz w:val="22"/>
        </w:rPr>
        <w:tab/>
        <w:t>Ausnahmen vom Vernichtungsverbot, Delegierte Verordnung (EU) 2026/296: https://eur-lex.europa.eu/legal-content/DE/TXT/?uri=CELEX:32026R0296</w:t>
      </w:r>
    </w:p>
    <w:p>
      <w:pPr>
        <w:spacing w:before="0" w:after="120"/>
      </w:pPr>
      <w:r>
        <w:rPr>
          <w:rFonts w:ascii="Calibri" w:hAnsi="Calibri" w:eastAsia="Calibri"/>
          <w:b w:val="0"/>
          <w:i w:val="0"/>
          <w:color w:val="17202A"/>
          <w:sz w:val="22"/>
        </w:rPr>
        <w:t>Empfohlene externe Formulierung: Die ESPR ist seit 18.07.2024 als Rahmenverordnung unmittelbar anwendbar. Ob und welche produktspezifischen Pflichten für AINA gelten, hängt von der formalen Einstufung des Gesamtsystems, der Komponenten und den anwendbaren Rechtsakten ab. Stand 13.08.2026 wurde kein ausdrücklich auf industrielle Roboter- oder Laborautomations-Gateways gerichteter ESPR-Rechtsakt identifiziert. Die Maßnahmen dienen daher der ESPR-Readiness und ersetzen keine rechtsverbindliche Produktklassifizierung oder Konformitätsbewertung.</w:t>
      </w:r>
    </w:p>
    <w:p>
      <w:pPr>
        <w:pStyle w:val="Heading1"/>
      </w:pPr>
      <w:r>
        <w:t>Anhang A  Konfigurationsreferenz</w:t>
      </w:r>
    </w:p>
    <w:p>
      <w:pPr>
        <w:pStyle w:val="CalloutWarning"/>
      </w:pPr>
      <w:r>
        <w:rPr>
          <w:rFonts w:ascii="Calibri" w:hAnsi="Calibri" w:eastAsia="Calibri"/>
          <w:b/>
          <w:color w:val="7A5A00"/>
          <w:sz w:val="21"/>
        </w:rPr>
        <w:t xml:space="preserve">Secret-Regel: </w:t>
      </w:r>
      <w:r>
        <w:rPr>
          <w:rFonts w:ascii="Calibri" w:hAnsi="Calibri" w:eastAsia="Calibri"/>
          <w:color w:val="7A5A00"/>
          <w:sz w:val="21"/>
        </w:rPr>
        <w:t>In Tabellen stehen nur Variablennamen. LABCOBOT_DEVICE_SECRET, OTA-Schlüssel, API Keys und Bearer Tokens werden niemals im Klartext dokumentiert.</w:t>
      </w:r>
    </w:p>
    <w:tbl>
      <w:tblPr>
        <w:tblStyle w:val="TableGrid"/>
        <w:jc w:val="left"/>
        <w:tblLook w:firstColumn="1" w:firstRow="1" w:lastColumn="0" w:lastRow="0" w:noHBand="0" w:noVBand="1" w:val="04A0"/>
        <w:tblW w:w="9360" w:type="dxa"/>
        <w:tblInd w:w="120" w:type="dxa"/>
        <w:tblLayout w:type="fixed"/>
      </w:tblPr>
      <w:tblGrid>
        <w:gridCol w:w="1900"/>
        <w:gridCol w:w="7460"/>
      </w:tblGrid>
      <w:tr>
        <w:trPr>
          <w:tblHeader w:val="true"/>
        </w:trPr>
        <w:tc>
          <w:tcPr>
            <w:shd w:fill="E8EEF5"/>
            <w:vAlign w:val="center"/>
            <w:tcW w:w="1900" w:type="dxa"/>
            <w:tcMar>
              <w:top w:w="80" w:type="dxa"/>
              <w:bottom w:w="80" w:type="dxa"/>
              <w:start w:w="120" w:type="dxa"/>
              <w:end w:w="120" w:type="dxa"/>
            </w:tcMar>
          </w:tcPr>
          <w:p>
            <w:pPr>
              <w:spacing w:before="20" w:after="20"/>
              <w:jc w:val="center"/>
            </w:pPr>
            <w:r>
              <w:rPr>
                <w:rFonts w:ascii="Calibri" w:hAnsi="Calibri" w:eastAsia="Calibri"/>
                <w:b/>
                <w:color w:val="203748"/>
                <w:sz w:val="16"/>
              </w:rPr>
              <w:t>Gruppe</w:t>
            </w:r>
          </w:p>
        </w:tc>
        <w:tc>
          <w:tcPr>
            <w:shd w:fill="E8EEF5"/>
            <w:vAlign w:val="center"/>
            <w:tcW w:w="7460" w:type="dxa"/>
            <w:tcMar>
              <w:top w:w="80" w:type="dxa"/>
              <w:bottom w:w="80" w:type="dxa"/>
              <w:start w:w="120" w:type="dxa"/>
              <w:end w:w="120" w:type="dxa"/>
            </w:tcMar>
          </w:tcPr>
          <w:p>
            <w:pPr>
              <w:spacing w:before="20" w:after="20"/>
              <w:jc w:val="center"/>
            </w:pPr>
            <w:r>
              <w:rPr>
                <w:rFonts w:ascii="Calibri" w:hAnsi="Calibri" w:eastAsia="Calibri"/>
                <w:b/>
                <w:color w:val="203748"/>
                <w:sz w:val="16"/>
              </w:rPr>
              <w:t>Variablen (Prefix LABCOBOT_)</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Basis</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LABCOBOT_DEPLOYMENT_MODE, STATE_DIR, LOG_LEVEL, WATCHDOG_INTERVAL_SECONDS</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Petri</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PETRI_REGISTRY_PATH + PETRI_ARTIFACT_ROOT; absolut und strikt unter STATE_DIR</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Kameras</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CAMERAS_ENABLED; TOOL/WORKSPACE_CAMERA_BACKEND, DEVICE_ID, SOURCE_ID; CAMERA_WIDTH/HEIGHT/FPS</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Local API</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MJPEG_ENABLED/HOST=127.0.0.1|::1|localhost/PORT/MAX_CLIENTS; optionales MJPEG_TOKEN schützt lokale Read-only-Streams, erlaubt aber kein Nicht-Loopback-Binding</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Lite6</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XARM_METRICS_ENABLED, XARM_IP, XARM_MODEL=lite6, XARM_MOTION_ENABLED</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Safety</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SAFETY_PROFILE_PATH + SAFETY_PROFILE_SHA256 (untrennbares Paar)</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Calibration</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EYE_IN_HAND_ENABLED, CALIBRATION_PATH/SHA256, WORKSPACE_LOWER/UPPER_XYZ_MM, POSE_SAMPLE_SECONDS</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Search</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DYNAMIC_VALVE_ENABLED, PRIMITIVE_PATH/SHA256, DEFAULT_NORMAL_XYZ, SERVO_HZ, MODEL/MANIFEST PATH+SHA256 oder Remote-Offload</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Capture</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CAPTURE_RUN_ENABLED, DATASET_ROOT, MOTION_PROFILE_PATH/SHA256, SAFETY_EVIDENCE_PATH/SHA256, WORKSPACE, JOINT_LIMITS_POLICY</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DataHub</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DEVICE_UID, DEVICE_SECRET, DATAHUB_INGEST_URL, DATAHUB_DATASET_ASSET_ID</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OTA</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OTA_MANIFEST_URL, OTA_SIGNING_KEY_B64, OTA_ALLOWED_DOWNLOAD_HOSTS, OTA_POLL_SECONDS, OTA_BOOT_HEALTH_SECONDS</w:t>
            </w:r>
          </w:p>
        </w:tc>
      </w:tr>
      <w:tr>
        <w:trPr>
          <w:cantSplit/>
        </w:trPr>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LVGL</w:t>
            </w:r>
          </w:p>
        </w:tc>
        <w:tc>
          <w:tcPr>
            <w:vAlign w:val="center"/>
            <w:tcW w:w="7460" w:type="dxa"/>
            <w:tcMar>
              <w:top w:w="80" w:type="dxa"/>
              <w:bottom w:w="80" w:type="dxa"/>
              <w:start w:w="120" w:type="dxa"/>
              <w:end w:w="120" w:type="dxa"/>
            </w:tcMar>
          </w:tcPr>
          <w:p>
            <w:pPr>
              <w:spacing w:before="0" w:after="0" w:line="259" w:lineRule="auto"/>
              <w:jc w:val="left"/>
            </w:pPr>
            <w:r>
              <w:rPr>
                <w:rFonts w:ascii="Calibri" w:hAnsi="Calibri" w:eastAsia="Calibri"/>
                <w:color w:val="17202A"/>
                <w:sz w:val="16"/>
              </w:rPr>
              <w:t>LVGL_HEALTH_URL, POLL_MS, HTTP_TIMEOUT_MS, WIDTH=1024, HEIGHT=600, ZOOM=1; SDL_VIDEODRIVER=x11, DISPLAY=:0</w:t>
            </w:r>
          </w:p>
        </w:tc>
      </w:tr>
    </w:tbl>
    <w:p>
      <w:pPr>
        <w:spacing w:before="80" w:after="80"/>
      </w:pPr>
    </w:p>
    <w:p>
      <w:pPr>
        <w:pStyle w:val="Heading1"/>
      </w:pPr>
      <w:r>
        <w:t>Anhang B  Öffentliche Statusschemata</w:t>
      </w:r>
    </w:p>
    <w:p>
      <w:pPr>
        <w:pStyle w:val="Code"/>
      </w:pPr>
      <w:r>
        <w:rPr>
          <w:rFonts w:ascii="Courier New" w:hAnsi="Courier New" w:eastAsia="Courier New"/>
          <w:color w:val="203748"/>
          <w:sz w:val="17"/>
        </w:rPr>
        <w:t>GET /healthz -&gt; {</w:t>
        <w:br/>
        <w:t xml:space="preserve">  "status": "ok|degraded",</w:t>
        <w:br/>
        <w:t xml:space="preserve">  "ready": true|false,</w:t>
        <w:br/>
        <w:t xml:space="preserve">  "cameras": {"tool": {...}, "workspace": {...}},</w:t>
        <w:br/>
        <w:t xml:space="preserve">  "runtime": {</w:t>
        <w:br/>
        <w:t xml:space="preserve">    "schema_version": 2, "deployment_mode": "gateway|operator|workcell|production",</w:t>
        <w:br/>
        <w:t xml:space="preserve">    "workers": {...}, "datahub": {...}, "registry": {...},</w:t>
        <w:br/>
        <w:t xml:space="preserve">    "motion": {...}, "xarm": {...}, "ota": {...},</w:t>
        <w:br/>
        <w:t xml:space="preserve">    "capture_run": {...}, "capture_export": {...}, "operations": {...},</w:t>
        <w:br/>
        <w:t xml:space="preserve">    "capabilities": {...}, "system": {...}, "problems": []</w:t>
        <w:br/>
        <w:t xml:space="preserve">  }</w:t>
        <w:br/>
        <w:t>}</w:t>
      </w:r>
    </w:p>
    <w:p>
      <w:pPr>
        <w:spacing w:before="0" w:after="120"/>
      </w:pPr>
      <w:r>
        <w:rPr>
          <w:rFonts w:ascii="Calibri" w:hAnsi="Calibri" w:eastAsia="Calibri"/>
          <w:b w:val="0"/>
          <w:i w:val="0"/>
          <w:color w:val="17202A"/>
          <w:sz w:val="22"/>
        </w:rPr>
        <w:t>Wesentliche Capability-Gruppen: registry, datahub, ota, capture, capture_export, offload, calibration, dynamic_valve_search, safety_boundary_configurator, motion, petri und software_stop. Clients müssen unbekannte/fehlende Felder fail-closed behandeln. motion.release_valid bleibt aktuell false; motion.release_gate nennt mit motion_release_incomplete den bounded Blocker. Auch ein künftig positives Releasefeld erlaubt allein weiterhin keine Action.</w:t>
      </w:r>
    </w:p>
    <w:p>
      <w:pPr>
        <w:pStyle w:val="Heading1"/>
      </w:pPr>
      <w:r>
        <w:t>Anhang C  API-Aktionsheader</w:t>
      </w:r>
    </w:p>
    <w:tbl>
      <w:tblPr>
        <w:tblStyle w:val="TableGrid"/>
        <w:jc w:val="left"/>
        <w:tblLook w:firstColumn="1" w:firstRow="1" w:lastColumn="0" w:lastRow="0" w:noHBand="0" w:noVBand="1" w:val="04A0"/>
        <w:tblW w:w="9360" w:type="dxa"/>
        <w:tblInd w:w="120" w:type="dxa"/>
        <w:tblLayout w:type="fixed"/>
      </w:tblPr>
      <w:tblGrid>
        <w:gridCol w:w="3200"/>
        <w:gridCol w:w="6160"/>
      </w:tblGrid>
      <w:tr>
        <w:trPr>
          <w:tblHeader w:val="true"/>
        </w:trPr>
        <w:tc>
          <w:tcPr>
            <w:shd w:fill="E8EEF5"/>
            <w:vAlign w:val="center"/>
            <w:tcW w:w="3200" w:type="dxa"/>
            <w:tcMar>
              <w:top w:w="80" w:type="dxa"/>
              <w:bottom w:w="80" w:type="dxa"/>
              <w:start w:w="120" w:type="dxa"/>
              <w:end w:w="120" w:type="dxa"/>
            </w:tcMar>
          </w:tcPr>
          <w:p>
            <w:pPr>
              <w:spacing w:before="20" w:after="20"/>
              <w:jc w:val="center"/>
            </w:pPr>
            <w:r>
              <w:rPr>
                <w:rFonts w:ascii="Calibri" w:hAnsi="Calibri" w:eastAsia="Calibri"/>
                <w:b/>
                <w:color w:val="203748"/>
                <w:sz w:val="18"/>
              </w:rPr>
              <w:t>Aktion</w:t>
            </w:r>
          </w:p>
        </w:tc>
        <w:tc>
          <w:tcPr>
            <w:shd w:fill="E8EEF5"/>
            <w:vAlign w:val="center"/>
            <w:tcW w:w="6160" w:type="dxa"/>
            <w:tcMar>
              <w:top w:w="80" w:type="dxa"/>
              <w:bottom w:w="80" w:type="dxa"/>
              <w:start w:w="120" w:type="dxa"/>
              <w:end w:w="120" w:type="dxa"/>
            </w:tcMar>
          </w:tcPr>
          <w:p>
            <w:pPr>
              <w:spacing w:before="20" w:after="20"/>
              <w:jc w:val="center"/>
            </w:pPr>
            <w:r>
              <w:rPr>
                <w:rFonts w:ascii="Calibri" w:hAnsi="Calibri" w:eastAsia="Calibri"/>
                <w:b/>
                <w:color w:val="203748"/>
                <w:sz w:val="18"/>
              </w:rPr>
              <w:t>X-LabCobot-Action</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OTA check</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signed-ota-check</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Capture start</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capture-run-start</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Capture stop</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capture-run-stop</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Software stop</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software-stop-all-v1</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Motion search</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dynamic-valve-search-arm-v1</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Safety configure</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lite6-safety-boundary-configure-v1</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Petri start</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commissioned-petri-start-v1</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Registration verify</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device-registration-verify-v1</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Reviewed recovery</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reviewed-recovery-home-v1</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Petri review</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petri-review-select-v1</w:t>
            </w:r>
          </w:p>
        </w:tc>
      </w:tr>
      <w:tr>
        <w:trPr>
          <w:cantSplit/>
        </w:trPr>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Review preview GET</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t>/api/petri/review.jpg; fester Client + Accept image/jpeg</w:t>
            </w:r>
          </w:p>
        </w:tc>
      </w:tr>
    </w:tbl>
    <w:p>
      <w:pPr>
        <w:spacing w:before="80" w:after="80"/>
      </w:pPr>
    </w:p>
    <w:p>
      <w:pPr>
        <w:spacing w:before="0" w:after="120"/>
      </w:pPr>
      <w:r>
        <w:rPr>
          <w:rFonts w:ascii="Calibri" w:hAnsi="Calibri" w:eastAsia="Calibri"/>
          <w:b w:val="0"/>
          <w:i w:val="0"/>
          <w:color w:val="17202A"/>
          <w:sz w:val="22"/>
        </w:rPr>
        <w:t>Clientheader ist lvgl-frontend-v1. Snapshots verlangen Accept: image/jpeg. Die Werte sind Protokollselektoren, keine Authentisierungssecrets; die Sicherheitsgrenze ist Loopback + systemd Isolation + Backend-Gates.</w:t>
      </w:r>
    </w:p>
    <w:p>
      <w:pPr>
        <w:pStyle w:val="Heading1"/>
      </w:pPr>
      <w:r>
        <w:t>Anhang D  Hersteller- und Projektquellen</w:t>
      </w:r>
    </w:p>
    <w:p>
      <w:pPr>
        <w:pStyle w:val="ListBullet"/>
      </w:pPr>
      <w:r>
        <w:rPr>
          <w:rFonts w:ascii="Calibri" w:hAnsi="Calibri" w:eastAsia="Calibri"/>
          <w:color w:val="17202A"/>
          <w:sz w:val="22"/>
        </w:rPr>
        <w:tab/>
        <w:t>UFACTORY: Lite 6 User Manual V2.3.0, 158 Seiten, Stand 22.01.2024. Herangezogen: Sicherheit, Installation, E-Stop, Ethernet, Safety Boundary/Reduced Mode, Spezifikationen und Einsatzumgebung.</w:t>
      </w:r>
    </w:p>
    <w:p>
      <w:pPr>
        <w:pStyle w:val="ListBullet"/>
      </w:pPr>
      <w:r>
        <w:rPr>
          <w:rFonts w:ascii="Calibri" w:hAnsi="Calibri" w:eastAsia="Calibri"/>
          <w:color w:val="17202A"/>
          <w:sz w:val="22"/>
        </w:rPr>
        <w:tab/>
        <w:t>Luxonis: OAK-D Lite Technical Data Sheet, Dezember 2021, 6 Seiten. Herangezogen: Sensoren, Mechanik, elektrische Werte und Einsatzdaten.</w:t>
      </w:r>
    </w:p>
    <w:p>
      <w:pPr>
        <w:pStyle w:val="ListBullet"/>
      </w:pPr>
      <w:r>
        <w:rPr>
          <w:rFonts w:ascii="Calibri" w:hAnsi="Calibri" w:eastAsia="Calibri"/>
          <w:color w:val="17202A"/>
          <w:sz w:val="22"/>
        </w:rPr>
        <w:tab/>
        <w:t>Luxonis: EU Declaration of Conformity, 17.10.2022. EMC 2014/30/EU, RoHS 2011/65/EU und dort aufgeführte Normen.</w:t>
      </w:r>
    </w:p>
    <w:p>
      <w:pPr>
        <w:pStyle w:val="ListBullet"/>
      </w:pPr>
      <w:r>
        <w:rPr>
          <w:rFonts w:ascii="Calibri" w:hAnsi="Calibri" w:eastAsia="Calibri"/>
          <w:color w:val="17202A"/>
          <w:sz w:val="22"/>
        </w:rPr>
        <w:tab/>
        <w:t>EU: Verordnung (EU) 2024/1781 (ESPR), COM(2025) 187 final, Durchführungsbeschluss (EU) 2026/1736, Durchführungsverordnungen (EU) 2026/1778 und 2026/2 sowie Delegierte Verordnung (EU) 2026/296; Rechtsstand 13.08.2026.</w:t>
      </w:r>
    </w:p>
    <w:p>
      <w:pPr>
        <w:pStyle w:val="ListBullet"/>
      </w:pPr>
      <w:r>
        <w:rPr>
          <w:rFonts w:ascii="Calibri" w:hAnsi="Calibri" w:eastAsia="Calibri"/>
          <w:color w:val="17202A"/>
          <w:sz w:val="22"/>
        </w:rPr>
        <w:tab/>
        <w:t>Repository: docs/AINA_TECHNISCHE_DOKUMENTATION_DE.md (autoritative Langfassung); SECURITY.md; docs/REPOSITORY_STRUCTURE.md; deploy/raspberry-pi/README.md; CLOUD_INTEGRATIONS.md; LITE6_SAFETY_BOUNDARY.md; CAPTURE_RUN_COMMISSIONING.md; EYE_IN_HAND_CALIBRATION.md; TRAJECTORY_COMMISSIONING.md; PETRI_WORKFLOW.md; REVIEWED_VALVE_MODEL.md; DELIVERY_COMPLIANCE.md; aktueller Backend-/LVGL-Code und Tests.</w:t>
      </w:r>
    </w:p>
    <w:p>
      <w:pPr>
        <w:pStyle w:val="ListBullet"/>
      </w:pPr>
      <w:r>
        <w:rPr>
          <w:rFonts w:ascii="Calibri" w:hAnsi="Calibri" w:eastAsia="Calibri"/>
          <w:color w:val="17202A"/>
          <w:sz w:val="22"/>
        </w:rPr>
        <w:tab/>
        <w:t>Deployment-Beobachtung: zeitgebundener, secret-freier Post-Restart-Status des Ziel-Pi vom 13.08.2026 (Europe/Berlin); kein versioniertes, digestgebundenes Rohartefakt im Repository. Vor Abnahme ist ein neues Deployment-Receipt zu erzeugen und revisionssicher zu archivieren.</w:t>
      </w:r>
    </w:p>
    <w:p>
      <w:pPr>
        <w:spacing w:before="0" w:after="120"/>
      </w:pPr>
      <w:r>
        <w:rPr>
          <w:rFonts w:ascii="Calibri" w:hAnsi="Calibri" w:eastAsia="Calibri"/>
          <w:b w:val="0"/>
          <w:i w:val="0"/>
          <w:color w:val="17202A"/>
          <w:sz w:val="22"/>
        </w:rPr>
        <w:t>Archivierte Herstellerdateien: Lite6 User Manual-V2.3.0.pdf; luxonis-oakd-lite-fiche-technique.pdf; luxonis-okd-lite-certification-ce.pdf. Ablageorte sind organisationsintern zu verwalten und werden nicht als benutzerspezifische absolute Dateipfade veröffentlicht.</w:t>
      </w:r>
    </w:p>
    <w:p>
      <w:pPr>
        <w:pStyle w:val="CalloutWarning"/>
      </w:pPr>
      <w:r>
        <w:rPr>
          <w:rFonts w:ascii="Calibri" w:hAnsi="Calibri" w:eastAsia="Calibri"/>
          <w:b/>
          <w:color w:val="7A5A00"/>
          <w:sz w:val="21"/>
        </w:rPr>
        <w:t xml:space="preserve">Rechtsstatus: </w:t>
      </w:r>
      <w:r>
        <w:rPr>
          <w:rFonts w:ascii="Calibri" w:hAnsi="Calibri" w:eastAsia="Calibri"/>
          <w:color w:val="7A5A00"/>
          <w:sz w:val="21"/>
        </w:rPr>
        <w:t>Dieses Dokument sammelt technische Integrations- und Betriebshinweise. Es ersetzt weder die Herstelleranleitungen noch die Risikobeurteilung, CE-Konformitätsbewertung oder standortspezifische Betriebsanweisung der integrierten Maschine.</w:t>
      </w:r>
    </w:p>
    <w:p>
      <w:r>
        <w:br w:type="page"/>
      </w:r>
    </w:p>
    <w:p>
      <w:pPr>
        <w:pStyle w:val="Heading1"/>
      </w:pPr>
      <w:r>
        <w:t>Anhang E  Revisions- und Abnahmeblatt</w:t>
      </w:r>
    </w:p>
    <w:tbl>
      <w:tblPr>
        <w:tblStyle w:val="TableGrid"/>
        <w:jc w:val="left"/>
        <w:tblLook w:firstColumn="1" w:firstRow="1" w:lastColumn="0" w:lastRow="0" w:noHBand="0" w:noVBand="1" w:val="04A0"/>
        <w:tblW w:w="9360" w:type="dxa"/>
        <w:tblInd w:w="120" w:type="dxa"/>
        <w:tblLayout w:type="fixed"/>
      </w:tblPr>
      <w:tblGrid>
        <w:gridCol w:w="3000"/>
        <w:gridCol w:w="3160"/>
        <w:gridCol w:w="3200"/>
      </w:tblGrid>
      <w:tr>
        <w:trPr>
          <w:tblHeader w:val="true"/>
        </w:trPr>
        <w:tc>
          <w:tcPr>
            <w:shd w:fill="E8EEF5"/>
            <w:vAlign w:val="center"/>
            <w:tcW w:w="3000" w:type="dxa"/>
            <w:tcMar>
              <w:top w:w="80" w:type="dxa"/>
              <w:bottom w:w="80" w:type="dxa"/>
              <w:start w:w="120" w:type="dxa"/>
              <w:end w:w="120" w:type="dxa"/>
            </w:tcMar>
          </w:tcPr>
          <w:p>
            <w:pPr>
              <w:spacing w:before="20" w:after="20"/>
              <w:jc w:val="center"/>
            </w:pPr>
            <w:r>
              <w:rPr>
                <w:rFonts w:ascii="Calibri" w:hAnsi="Calibri" w:eastAsia="Calibri"/>
                <w:b/>
                <w:color w:val="203748"/>
                <w:sz w:val="18"/>
              </w:rPr>
              <w:t>Rolle</w:t>
            </w:r>
          </w:p>
        </w:tc>
        <w:tc>
          <w:tcPr>
            <w:shd w:fill="E8EEF5"/>
            <w:vAlign w:val="center"/>
            <w:tcW w:w="3160" w:type="dxa"/>
            <w:tcMar>
              <w:top w:w="80" w:type="dxa"/>
              <w:bottom w:w="80" w:type="dxa"/>
              <w:start w:w="120" w:type="dxa"/>
              <w:end w:w="120" w:type="dxa"/>
            </w:tcMar>
          </w:tcPr>
          <w:p>
            <w:pPr>
              <w:spacing w:before="20" w:after="20"/>
              <w:jc w:val="center"/>
            </w:pPr>
            <w:r>
              <w:rPr>
                <w:rFonts w:ascii="Calibri" w:hAnsi="Calibri" w:eastAsia="Calibri"/>
                <w:b/>
                <w:color w:val="203748"/>
                <w:sz w:val="18"/>
              </w:rPr>
              <w:t>Name / Datum</w:t>
            </w:r>
          </w:p>
        </w:tc>
        <w:tc>
          <w:tcPr>
            <w:shd w:fill="E8EEF5"/>
            <w:vAlign w:val="center"/>
            <w:tcW w:w="3200" w:type="dxa"/>
            <w:tcMar>
              <w:top w:w="80" w:type="dxa"/>
              <w:bottom w:w="80" w:type="dxa"/>
              <w:start w:w="120" w:type="dxa"/>
              <w:end w:w="120" w:type="dxa"/>
            </w:tcMar>
          </w:tcPr>
          <w:p>
            <w:pPr>
              <w:spacing w:before="20" w:after="20"/>
              <w:jc w:val="center"/>
            </w:pPr>
            <w:r>
              <w:rPr>
                <w:rFonts w:ascii="Calibri" w:hAnsi="Calibri" w:eastAsia="Calibri"/>
                <w:b/>
                <w:color w:val="203748"/>
                <w:sz w:val="18"/>
              </w:rPr>
              <w:t>Unterschrift</w:t>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8"/>
              </w:rPr>
              <w:t>Integrator</w:t>
            </w:r>
          </w:p>
        </w:tc>
        <w:tc>
          <w:tcPr>
            <w:vAlign w:val="center"/>
            <w:tcW w:w="3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r>
          </w:p>
        </w:tc>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8"/>
              </w:rPr>
              <w:t>Unabhängige Safety-Prüfung</w:t>
            </w:r>
          </w:p>
        </w:tc>
        <w:tc>
          <w:tcPr>
            <w:vAlign w:val="center"/>
            <w:tcW w:w="3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r>
          </w:p>
        </w:tc>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8"/>
              </w:rPr>
              <w:t>IT/OT-Administration</w:t>
            </w:r>
          </w:p>
        </w:tc>
        <w:tc>
          <w:tcPr>
            <w:vAlign w:val="center"/>
            <w:tcW w:w="3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r>
          </w:p>
        </w:tc>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8"/>
              </w:rPr>
              <w:t>Bedienerverantwortung</w:t>
            </w:r>
          </w:p>
        </w:tc>
        <w:tc>
          <w:tcPr>
            <w:vAlign w:val="center"/>
            <w:tcW w:w="3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r>
          </w:p>
        </w:tc>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r>
          </w:p>
        </w:tc>
      </w:tr>
      <w:tr>
        <w:trPr>
          <w:cantSplit/>
        </w:trPr>
        <w:tc>
          <w:tcPr>
            <w:vAlign w:val="center"/>
            <w:tcW w:w="30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8"/>
              </w:rPr>
              <w:t>Abnahme Kunde</w:t>
            </w:r>
          </w:p>
        </w:tc>
        <w:tc>
          <w:tcPr>
            <w:vAlign w:val="center"/>
            <w:tcW w:w="316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r>
          </w:p>
        </w:tc>
        <w:tc>
          <w:tcPr>
            <w:vAlign w:val="center"/>
            <w:tcW w:w="3200" w:type="dxa"/>
            <w:tcMar>
              <w:top w:w="80" w:type="dxa"/>
              <w:bottom w:w="80" w:type="dxa"/>
              <w:start w:w="120" w:type="dxa"/>
              <w:end w:w="120" w:type="dxa"/>
            </w:tcMar>
          </w:tcPr>
          <w:p>
            <w:pPr>
              <w:spacing w:before="0" w:after="0" w:line="259" w:lineRule="auto"/>
              <w:jc w:val="left"/>
            </w:pPr>
            <w:r>
              <w:rPr>
                <w:rFonts w:ascii="Calibri" w:hAnsi="Calibri" w:eastAsia="Calibri"/>
                <w:color w:val="17202A"/>
                <w:sz w:val="18"/>
              </w:rPr>
            </w:r>
          </w:p>
        </w:tc>
      </w:tr>
    </w:tbl>
    <w:p>
      <w:pPr>
        <w:spacing w:before="80" w:after="80"/>
      </w:pPr>
    </w:p>
    <w:p>
      <w:pPr>
        <w:pStyle w:val="Heading1"/>
      </w:pPr>
      <w:r>
        <w:t>Anhang F  Dokumentänderungen</w:t>
      </w:r>
    </w:p>
    <w:tbl>
      <w:tblPr>
        <w:tblStyle w:val="TableGrid"/>
        <w:jc w:val="left"/>
        <w:tblLook w:firstColumn="1" w:firstRow="1" w:lastColumn="0" w:lastRow="0" w:noHBand="0" w:noVBand="1" w:val="04A0"/>
        <w:tblW w:w="9360" w:type="dxa"/>
        <w:tblInd w:w="120" w:type="dxa"/>
        <w:tblLayout w:type="fixed"/>
      </w:tblPr>
      <w:tblGrid>
        <w:gridCol w:w="1300"/>
        <w:gridCol w:w="1900"/>
        <w:gridCol w:w="6160"/>
      </w:tblGrid>
      <w:tr>
        <w:trPr>
          <w:tblHeader w:val="true"/>
        </w:trPr>
        <w:tc>
          <w:tcPr>
            <w:shd w:fill="E8EEF5"/>
            <w:vAlign w:val="center"/>
            <w:tcW w:w="1300" w:type="dxa"/>
            <w:tcMar>
              <w:top w:w="80" w:type="dxa"/>
              <w:bottom w:w="80" w:type="dxa"/>
              <w:start w:w="120" w:type="dxa"/>
              <w:end w:w="120" w:type="dxa"/>
            </w:tcMar>
          </w:tcPr>
          <w:p>
            <w:pPr>
              <w:spacing w:before="20" w:after="20"/>
              <w:jc w:val="center"/>
            </w:pPr>
            <w:r>
              <w:rPr>
                <w:rFonts w:ascii="Calibri" w:hAnsi="Calibri" w:eastAsia="Calibri"/>
                <w:b/>
                <w:color w:val="203748"/>
                <w:sz w:val="17"/>
              </w:rPr>
              <w:t>Version</w:t>
            </w:r>
          </w:p>
        </w:tc>
        <w:tc>
          <w:tcPr>
            <w:shd w:fill="E8EEF5"/>
            <w:vAlign w:val="center"/>
            <w:tcW w:w="1900" w:type="dxa"/>
            <w:tcMar>
              <w:top w:w="80" w:type="dxa"/>
              <w:bottom w:w="80" w:type="dxa"/>
              <w:start w:w="120" w:type="dxa"/>
              <w:end w:w="120" w:type="dxa"/>
            </w:tcMar>
          </w:tcPr>
          <w:p>
            <w:pPr>
              <w:spacing w:before="20" w:after="20"/>
              <w:jc w:val="center"/>
            </w:pPr>
            <w:r>
              <w:rPr>
                <w:rFonts w:ascii="Calibri" w:hAnsi="Calibri" w:eastAsia="Calibri"/>
                <w:b/>
                <w:color w:val="203748"/>
                <w:sz w:val="17"/>
              </w:rPr>
              <w:t>Datum</w:t>
            </w:r>
          </w:p>
        </w:tc>
        <w:tc>
          <w:tcPr>
            <w:shd w:fill="E8EEF5"/>
            <w:vAlign w:val="center"/>
            <w:tcW w:w="6160" w:type="dxa"/>
            <w:tcMar>
              <w:top w:w="80" w:type="dxa"/>
              <w:bottom w:w="80" w:type="dxa"/>
              <w:start w:w="120" w:type="dxa"/>
              <w:end w:w="120" w:type="dxa"/>
            </w:tcMar>
          </w:tcPr>
          <w:p>
            <w:pPr>
              <w:spacing w:before="20" w:after="20"/>
              <w:jc w:val="center"/>
            </w:pPr>
            <w:r>
              <w:rPr>
                <w:rFonts w:ascii="Calibri" w:hAnsi="Calibri" w:eastAsia="Calibri"/>
                <w:b/>
                <w:color w:val="203748"/>
                <w:sz w:val="17"/>
              </w:rPr>
              <w:t>Änderung</w:t>
            </w:r>
          </w:p>
        </w:tc>
      </w:tr>
      <w:tr>
        <w:trPr>
          <w:cantSplit/>
        </w:trPr>
        <w:tc>
          <w:tcPr>
            <w:vAlign w:val="center"/>
            <w:tcW w:w="13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1.0</w:t>
            </w:r>
          </w:p>
        </w:tc>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13.08.2026</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Autoritative deutsche Dokumentation aus Repository, Herstellerunterlagen und verifiziertem Gateway-Snapshot erstellt.</w:t>
            </w:r>
          </w:p>
        </w:tc>
      </w:tr>
      <w:tr>
        <w:trPr>
          <w:cantSplit/>
        </w:trPr>
        <w:tc>
          <w:tcPr>
            <w:vAlign w:val="center"/>
            <w:tcW w:w="13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1.1</w:t>
            </w:r>
          </w:p>
        </w:tc>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13.08.2026</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Operations-/Registry-/visuelles Manual-Review und ESPR-Readiness ergänzt.</w:t>
            </w:r>
          </w:p>
        </w:tc>
      </w:tr>
      <w:tr>
        <w:trPr>
          <w:cantSplit/>
        </w:trPr>
        <w:tc>
          <w:tcPr>
            <w:vAlign w:val="center"/>
            <w:tcW w:w="1300" w:type="dxa"/>
            <w:tcMar>
              <w:top w:w="80" w:type="dxa"/>
              <w:bottom w:w="80" w:type="dxa"/>
              <w:start w:w="120" w:type="dxa"/>
              <w:end w:w="120" w:type="dxa"/>
            </w:tcMar>
          </w:tcPr>
          <w:p>
            <w:pPr>
              <w:spacing w:before="0" w:after="0" w:line="259" w:lineRule="auto"/>
              <w:jc w:val="center"/>
            </w:pPr>
            <w:r>
              <w:rPr>
                <w:rFonts w:ascii="Calibri" w:hAnsi="Calibri" w:eastAsia="Calibri"/>
                <w:color w:val="17202A"/>
                <w:sz w:val="17"/>
              </w:rPr>
              <w:t>1.2</w:t>
            </w:r>
          </w:p>
        </w:tc>
        <w:tc>
          <w:tcPr>
            <w:vAlign w:val="center"/>
            <w:tcW w:w="190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13.08.2026</w:t>
            </w:r>
          </w:p>
        </w:tc>
        <w:tc>
          <w:tcPr>
            <w:vAlign w:val="center"/>
            <w:tcW w:w="6160" w:type="dxa"/>
            <w:tcMar>
              <w:top w:w="80" w:type="dxa"/>
              <w:bottom w:w="80" w:type="dxa"/>
              <w:start w:w="120" w:type="dxa"/>
              <w:end w:w="120" w:type="dxa"/>
            </w:tcMar>
          </w:tcPr>
          <w:p>
            <w:pPr>
              <w:spacing w:before="0" w:after="0" w:line="259" w:lineRule="auto"/>
              <w:jc w:val="left"/>
            </w:pPr>
            <w:r>
              <w:rPr>
                <w:rFonts w:ascii="Calibri" w:hAnsi="Calibri" w:eastAsia="Calibri"/>
                <w:color w:val="17202A"/>
                <w:sz w:val="17"/>
              </w:rPr>
              <w:t>Live-Audit wiederholt; Gateway/Operator-Grenze, signierte Bewegungsfreigabe und offene root-owned Code-/Updater-Vertrauensgrenze dokumentiert.</w:t>
            </w:r>
          </w:p>
        </w:tc>
      </w:tr>
    </w:tbl>
    <w:p>
      <w:pPr>
        <w:spacing w:before="80" w:after="80"/>
      </w:pP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jc w:val="right"/>
    </w:pPr>
    <w:r/>
    <w:r>
      <w:rPr>
        <w:rFonts w:ascii="Calibri" w:hAnsi="Calibri" w:eastAsia="Calibri"/>
        <w:color w:val="64717E"/>
        <w:sz w:val="16"/>
      </w:rPr>
      <w:t xml:space="preserve">SupraTix GmbH  |  Stand 13.08.2026  |  Seite </w:t>
    </w:r>
    <w:r>
      <w:rPr>
        <w:rFonts w:ascii="Calibri" w:hAnsi="Calibri" w:eastAsia="Calibri"/>
        <w:color w:val="64717E"/>
        <w:sz w:val="16"/>
      </w:rPr>
      <w:fldChar w:fldCharType="begin"/>
      <w:instrText xml:space="preserve">PAGE</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
      <w:rPr>
        <w:rFonts w:ascii="Calibri" w:hAnsi="Calibri" w:eastAsia="Calibri"/>
        <w:b/>
        <w:color w:val="64717E"/>
        <w:sz w:val="17"/>
      </w:rPr>
      <w:t>AINA  |  Technisches Handbuch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7"/>
    <w:lvlOverride w:ilvl="0">
      <w:startOverride w:val="1"/>
    </w:lvlOverride>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7202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160" w:line="240" w:lineRule="auto" w:before="0"/>
      <w:contextualSpacing/>
    </w:pPr>
    <w:rPr>
      <w:rFonts w:asciiTheme="majorHAnsi" w:eastAsiaTheme="majorEastAsia" w:hAnsiTheme="majorHAnsi" w:cstheme="majorBidi" w:ascii="Calibri" w:hAnsi="Calibri"/>
      <w:b/>
      <w:color w:val="203748"/>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spacing w:before="0" w:after="40"/>
    </w:pPr>
    <w:rPr>
      <w:rFonts w:asciiTheme="majorHAnsi" w:eastAsiaTheme="majorEastAsia" w:hAnsiTheme="majorHAnsi" w:cstheme="majorBidi" w:ascii="Calibri" w:hAnsi="Calibri"/>
      <w:b w:val="0"/>
      <w:i/>
      <w:iCs/>
      <w:color w:val="1F4D78"/>
      <w:spacing w:val="15"/>
      <w:sz w:val="30"/>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ilvl w:val="0"/>
        <w:numId w:val="1"/>
      </w:numPr>
      <w:spacing w:after="80" w:line="300" w:lineRule="auto"/>
      <w:ind w:left="540" w:hanging="271"/>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ilvl w:val="0"/>
        <w:numId w:val="5"/>
      </w:numPr>
      <w:spacing w:after="80" w:line="300" w:lineRule="auto"/>
      <w:ind w:left="540" w:hanging="271"/>
      <w:contextualSpacing/>
    </w:pPr>
    <w:rPr>
      <w:rFonts w:ascii="Calibri" w:hAnsi="Calibri"/>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Note">
    <w:name w:val="Callout Note"/>
    <w:basedOn w:val="Normal"/>
    <w:pPr>
      <w:spacing w:before="100" w:after="160" w:line="276" w:lineRule="auto"/>
      <w:ind w:left="216" w:right="144"/>
      <w:shd w:fill="F4F6F9"/>
      <w:pBdr>
        <w:left w:val="single" w:sz="20" w:space="8" w:color="1F4D78"/>
      </w:pBdr>
    </w:pPr>
    <w:rPr>
      <w:rFonts w:ascii="Calibri" w:hAnsi="Calibri"/>
      <w:color w:val="1F4D78"/>
      <w:sz w:val="21"/>
    </w:rPr>
  </w:style>
  <w:style w:type="paragraph" w:customStyle="1" w:styleId="CalloutWarning">
    <w:name w:val="Callout Warning"/>
    <w:basedOn w:val="Normal"/>
    <w:pPr>
      <w:spacing w:before="100" w:after="160" w:line="276" w:lineRule="auto"/>
      <w:ind w:left="216" w:right="144"/>
      <w:shd w:fill="FFF4D6"/>
      <w:pBdr>
        <w:left w:val="single" w:sz="20" w:space="8" w:color="7A5A00"/>
      </w:pBdr>
    </w:pPr>
    <w:rPr>
      <w:rFonts w:ascii="Calibri" w:hAnsi="Calibri"/>
      <w:color w:val="7A5A00"/>
      <w:sz w:val="21"/>
    </w:rPr>
  </w:style>
  <w:style w:type="paragraph" w:customStyle="1" w:styleId="CalloutDanger">
    <w:name w:val="Callout Danger"/>
    <w:basedOn w:val="Normal"/>
    <w:pPr>
      <w:spacing w:before="100" w:after="160" w:line="276" w:lineRule="auto"/>
      <w:ind w:left="216" w:right="144"/>
      <w:shd w:fill="FBE9E9"/>
      <w:pBdr>
        <w:left w:val="single" w:sz="20" w:space="8" w:color="9B1C1C"/>
      </w:pBdr>
    </w:pPr>
    <w:rPr>
      <w:rFonts w:ascii="Calibri" w:hAnsi="Calibri"/>
      <w:color w:val="9B1C1C"/>
      <w:sz w:val="21"/>
    </w:rPr>
  </w:style>
  <w:style w:type="paragraph" w:customStyle="1" w:styleId="CalloutSuccess">
    <w:name w:val="Callout Success"/>
    <w:basedOn w:val="Normal"/>
    <w:pPr>
      <w:spacing w:before="100" w:after="160" w:line="276" w:lineRule="auto"/>
      <w:ind w:left="216" w:right="144"/>
      <w:shd w:fill="E8F3EE"/>
      <w:pBdr>
        <w:left w:val="single" w:sz="20" w:space="8" w:color="1B6B50"/>
      </w:pBdr>
    </w:pPr>
    <w:rPr>
      <w:rFonts w:ascii="Calibri" w:hAnsi="Calibri"/>
      <w:color w:val="1B6B50"/>
      <w:sz w:val="21"/>
    </w:rPr>
  </w:style>
  <w:style w:type="paragraph" w:customStyle="1" w:styleId="Code">
    <w:name w:val="Code"/>
    <w:pPr>
      <w:spacing w:before="60" w:after="140" w:line="240" w:lineRule="auto"/>
      <w:ind w:left="259" w:right="115"/>
      <w:shd w:fill="F3F6F8"/>
    </w:pPr>
    <w:rPr>
      <w:rFonts w:ascii="Courier New" w:hAnsi="Courier New"/>
      <w:color w:val="203748"/>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AINA - Technische Dokumentation und Betriebshandbuch</dc:title>
  <dc:subject>LabCobot Dual-Vision Gateway mit xArm Lite 6 und OAK-D Lite</dc:subject>
  <dc:creator>SupraTix GmbH</dc:creator>
  <cp:keywords>AINA, LabCobot, xArm Lite 6, OAK-D Lite, LVGL, Raspberry Pi, ESPR, EU 2024/1781</cp:keywords>
  <dc:description>Enthält keine Geräte-Secrets oder Passwörter.</dc:description>
  <cp:lastModifiedBy/>
  <cp:revision>1</cp:revision>
  <dcterms:created xsi:type="dcterms:W3CDTF">2013-12-23T23:15:00Z</dcterms:created>
  <dcterms:modified xsi:type="dcterms:W3CDTF">2013-12-23T23:15:00Z</dcterms:modified>
  <cp:category>Technisches Handbuch</cp:category>
</cp:coreProperties>
</file>