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SpeakSphere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>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</w:t>
            </w:r>
            <w:proofErr w:type="gramStart"/>
            <w:r w:rsidR="00A22D49">
              <w:rPr>
                <w:rFonts w:ascii="Arial" w:hAnsi="Arial" w:cs="Arial"/>
                <w:sz w:val="16"/>
                <w:szCs w:val="16"/>
              </w:rPr>
              <w:t>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</w:t>
            </w:r>
            <w:proofErr w:type="gramEnd"/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SpSp</w:t>
            </w:r>
            <w:proofErr w:type="spellEnd"/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4D68D86A" w:rsidR="00902B15" w:rsidRPr="009F2037" w:rsidRDefault="009F2037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  <w:r w:rsidRPr="009F2037">
              <w:rPr>
                <w:rFonts w:ascii="Arial" w:hAnsi="Arial" w:cs="Arial"/>
                <w:b/>
                <w:bCs/>
                <w:sz w:val="24"/>
              </w:rPr>
              <w:t>An alle Interessierten</w:t>
            </w: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4A433FE3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10F6B81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64010EEA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proofErr w:type="spellStart"/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  <w:proofErr w:type="spellEnd"/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6616A520" w:rsidR="00902B15" w:rsidRPr="00722AF8" w:rsidRDefault="00212898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 w:rsidRPr="00212898">
              <w:rPr>
                <w:rFonts w:ascii="Arial" w:hAnsi="Arial" w:cs="Arial"/>
                <w:sz w:val="16"/>
                <w:szCs w:val="14"/>
              </w:rPr>
              <w:fldChar w:fldCharType="begin"/>
            </w:r>
            <w:r w:rsidRPr="00212898">
              <w:rPr>
                <w:rFonts w:ascii="Arial" w:hAnsi="Arial" w:cs="Arial"/>
                <w:sz w:val="16"/>
                <w:szCs w:val="14"/>
              </w:rPr>
              <w:instrText xml:space="preserve"> TIME \@ "dd.MM.yyyy" </w:instrTex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5D723D">
              <w:rPr>
                <w:rFonts w:ascii="Arial" w:hAnsi="Arial" w:cs="Arial"/>
                <w:noProof/>
                <w:sz w:val="16"/>
                <w:szCs w:val="14"/>
              </w:rPr>
              <w:t>03.11.2025</w: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5D4A0051" w14:textId="77777777" w:rsidR="0023495B" w:rsidRPr="0023495B" w:rsidRDefault="0023495B" w:rsidP="0023495B">
      <w:pPr>
        <w:pStyle w:val="DIN5008-HorizonConsuting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495B">
        <w:rPr>
          <w:rFonts w:ascii="Arial" w:hAnsi="Arial" w:cs="Arial"/>
          <w:b/>
          <w:sz w:val="24"/>
          <w:szCs w:val="24"/>
        </w:rPr>
        <w:t>Gedächtnisprotokoll - Landratsamt Bautzen, 03.11.2025, 13:00-14:30</w:t>
      </w:r>
    </w:p>
    <w:p w14:paraId="3504FAAD" w14:textId="7AFAFF96" w:rsidR="00722AF8" w:rsidRPr="008166EF" w:rsidRDefault="0023495B" w:rsidP="0023495B">
      <w:pPr>
        <w:pStyle w:val="DIN5008-HorizonConsuting"/>
        <w:spacing w:after="0" w:line="240" w:lineRule="auto"/>
        <w:jc w:val="both"/>
        <w:rPr>
          <w:rFonts w:ascii="Arial" w:hAnsi="Arial" w:cs="Arial"/>
        </w:rPr>
      </w:pPr>
      <w:r w:rsidRPr="0023495B">
        <w:rPr>
          <w:rFonts w:ascii="Arial" w:hAnsi="Arial" w:cs="Arial"/>
          <w:b/>
          <w:sz w:val="24"/>
          <w:szCs w:val="24"/>
        </w:rPr>
        <w:t>Maria Ender, Anke Bär, Marco Neumann</w:t>
      </w:r>
    </w:p>
    <w:p w14:paraId="09D12F81" w14:textId="77777777" w:rsidR="00722AF8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9A16DA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Über folgende Schlagworte haben wir uns ausgetauscht:</w:t>
      </w:r>
    </w:p>
    <w:p w14:paraId="316B6C68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Tätigkeit des LRA BZ mit dem Welcome Center</w:t>
      </w:r>
    </w:p>
    <w:p w14:paraId="012AA900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Vertiefte Berufsorientierung und Koordinierung von Fachkräften</w:t>
      </w:r>
    </w:p>
    <w:p w14:paraId="5CA228F5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eigenständige Anerkennungsverfahren etabliert</w:t>
      </w:r>
    </w:p>
    <w:p w14:paraId="540A358A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Veranstaltungshinweise: </w:t>
      </w:r>
    </w:p>
    <w:p w14:paraId="26B4E213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proofErr w:type="spellStart"/>
        <w:r w:rsidRPr="0023495B">
          <w:rPr>
            <w:rStyle w:val="Hyperlink"/>
            <w:rFonts w:ascii="Arial" w:hAnsi="Arial" w:cs="Arial"/>
            <w:sz w:val="20"/>
            <w:szCs w:val="20"/>
          </w:rPr>
          <w:t>Zukunftsnavi</w:t>
        </w:r>
        <w:proofErr w:type="spellEnd"/>
      </w:hyperlink>
      <w:r w:rsidRPr="0023495B">
        <w:rPr>
          <w:rFonts w:ascii="Arial" w:hAnsi="Arial" w:cs="Arial"/>
          <w:sz w:val="20"/>
          <w:szCs w:val="20"/>
        </w:rPr>
        <w:t xml:space="preserve"> </w:t>
      </w:r>
      <w:r w:rsidRPr="0023495B">
        <w:rPr>
          <w:rFonts w:ascii="Arial" w:hAnsi="Arial" w:cs="Arial"/>
          <w:sz w:val="20"/>
          <w:szCs w:val="20"/>
        </w:rPr>
        <w:tab/>
      </w:r>
      <w:r w:rsidRPr="0023495B">
        <w:rPr>
          <w:rFonts w:ascii="Arial" w:hAnsi="Arial" w:cs="Arial"/>
          <w:sz w:val="20"/>
          <w:szCs w:val="20"/>
        </w:rPr>
        <w:tab/>
        <w:t>31.01.2026</w:t>
      </w:r>
    </w:p>
    <w:p w14:paraId="0451BECF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3495B">
        <w:rPr>
          <w:rFonts w:ascii="Arial" w:hAnsi="Arial" w:cs="Arial"/>
          <w:sz w:val="20"/>
          <w:szCs w:val="20"/>
        </w:rPr>
        <w:t>Berufemarkt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</w:t>
      </w:r>
      <w:r w:rsidRPr="0023495B">
        <w:rPr>
          <w:rFonts w:ascii="Arial" w:hAnsi="Arial" w:cs="Arial"/>
          <w:sz w:val="20"/>
          <w:szCs w:val="20"/>
        </w:rPr>
        <w:tab/>
      </w:r>
      <w:r w:rsidRPr="0023495B">
        <w:rPr>
          <w:rFonts w:ascii="Arial" w:hAnsi="Arial" w:cs="Arial"/>
          <w:sz w:val="20"/>
          <w:szCs w:val="20"/>
        </w:rPr>
        <w:tab/>
        <w:t>30.05.2026</w:t>
      </w:r>
    </w:p>
    <w:p w14:paraId="4F11BEC0" w14:textId="3B91A78C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Bildungskonferenz </w:t>
      </w:r>
      <w:r w:rsidRPr="0023495B">
        <w:rPr>
          <w:rFonts w:ascii="Arial" w:hAnsi="Arial" w:cs="Arial"/>
          <w:sz w:val="20"/>
          <w:szCs w:val="20"/>
        </w:rPr>
        <w:tab/>
        <w:t>18.03.2026</w:t>
      </w:r>
    </w:p>
    <w:p w14:paraId="76CFA463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E26599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3495B">
        <w:rPr>
          <w:rFonts w:ascii="Arial" w:hAnsi="Arial" w:cs="Arial"/>
          <w:sz w:val="20"/>
          <w:szCs w:val="20"/>
        </w:rPr>
        <w:t>Potenzielle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Übersetzungsleistung interessant für:</w:t>
      </w:r>
    </w:p>
    <w:p w14:paraId="06606D56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Erstgespräche mit Personen aus Drittstaaten</w:t>
      </w:r>
    </w:p>
    <w:p w14:paraId="3C4F2C0C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Detailerklärung bei Aufenthaltsrechten und -pflichten</w:t>
      </w:r>
    </w:p>
    <w:p w14:paraId="44599DDA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Anerkennungsberatung</w:t>
      </w:r>
    </w:p>
    <w:p w14:paraId="3D0997B3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Mögliche Zielbranche: Pflege und Kliniken</w:t>
      </w:r>
    </w:p>
    <w:p w14:paraId="340D9042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412D7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Erklärung der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</w:p>
    <w:p w14:paraId="253373EF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PDF Prospekt im Anhang</w:t>
      </w:r>
    </w:p>
    <w:p w14:paraId="41F369A5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PDF Präsentation im Anhang</w:t>
      </w:r>
    </w:p>
    <w:p w14:paraId="3228C645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>Weiterleitung an das Sachgebiet „Digitalisierung“</w:t>
      </w:r>
    </w:p>
    <w:p w14:paraId="614B0B0C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Use Case </w:t>
      </w:r>
      <w:proofErr w:type="spellStart"/>
      <w:r w:rsidRPr="0023495B">
        <w:rPr>
          <w:rFonts w:ascii="Arial" w:hAnsi="Arial" w:cs="Arial"/>
          <w:sz w:val="20"/>
          <w:szCs w:val="20"/>
        </w:rPr>
        <w:t>muss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bestimmt werden</w:t>
      </w:r>
    </w:p>
    <w:p w14:paraId="16F3BE3A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D57C02" w14:textId="77777777" w:rsidR="0023495B" w:rsidRPr="0023495B" w:rsidRDefault="0023495B" w:rsidP="0023495B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Mögliche Vorteile des Einsatzes der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</w:p>
    <w:p w14:paraId="5C031066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Effizientere Beratung von Personen aus Drittstaaten: Aufgrund der Übersetzungsleistung ist eine barrierefreie Verständigung möglich, </w:t>
      </w:r>
      <w:proofErr w:type="spellStart"/>
      <w:r w:rsidRPr="0023495B">
        <w:rPr>
          <w:rFonts w:ascii="Arial" w:hAnsi="Arial" w:cs="Arial"/>
          <w:sz w:val="20"/>
          <w:szCs w:val="20"/>
        </w:rPr>
        <w:t>sodass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mehr Personen in der gleichen Zeit erfolgreich in ihren Anliegen beraten werden können als zuvor mit umständlichen Erklärungsversuchen.</w:t>
      </w:r>
    </w:p>
    <w:p w14:paraId="7C98F151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Wir bieten Schnittstellenmanagement in bestehende Prozesse und heben </w:t>
      </w:r>
      <w:proofErr w:type="spellStart"/>
      <w:r w:rsidRPr="0023495B">
        <w:rPr>
          <w:rFonts w:ascii="Arial" w:hAnsi="Arial" w:cs="Arial"/>
          <w:sz w:val="20"/>
          <w:szCs w:val="20"/>
        </w:rPr>
        <w:t>Automatisierungspotenziale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durch maschinengestützte, automatische Dokumentation aus den Gesprächen heraus in kommunale Dokumente.</w:t>
      </w:r>
    </w:p>
    <w:p w14:paraId="126EAF95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95B">
        <w:rPr>
          <w:rFonts w:ascii="Arial" w:hAnsi="Arial" w:cs="Arial"/>
          <w:sz w:val="20"/>
          <w:szCs w:val="20"/>
        </w:rPr>
        <w:t xml:space="preserve">Mittelfristig steigert der Einsatz von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die Zufriedenheit der beratenen Personen sowie der kommunalen </w:t>
      </w:r>
      <w:proofErr w:type="spellStart"/>
      <w:proofErr w:type="gramStart"/>
      <w:r w:rsidRPr="0023495B">
        <w:rPr>
          <w:rFonts w:ascii="Arial" w:hAnsi="Arial" w:cs="Arial"/>
          <w:sz w:val="20"/>
          <w:szCs w:val="20"/>
        </w:rPr>
        <w:t>Mitarbeiter:innen</w:t>
      </w:r>
      <w:proofErr w:type="spellEnd"/>
      <w:proofErr w:type="gramEnd"/>
      <w:r w:rsidRPr="0023495B">
        <w:rPr>
          <w:rFonts w:ascii="Arial" w:hAnsi="Arial" w:cs="Arial"/>
          <w:sz w:val="20"/>
          <w:szCs w:val="20"/>
        </w:rPr>
        <w:t>. Eine erfolgreiche Verständigung wirkt sich positiv auf das Erleben von Integration und Teilhabe der beteiligten Personen aus.</w:t>
      </w:r>
    </w:p>
    <w:p w14:paraId="3B52A40C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3495B">
        <w:rPr>
          <w:rFonts w:ascii="Arial" w:hAnsi="Arial" w:cs="Arial"/>
          <w:sz w:val="20"/>
          <w:szCs w:val="20"/>
        </w:rPr>
        <w:lastRenderedPageBreak/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kann die Qualität der Übersetzung maschinell darstellen und validieren. Sie erhalten somit eine hochwertige Aussage über eine zielgerichtete Übersetzung.</w:t>
      </w:r>
    </w:p>
    <w:p w14:paraId="6C6C2DAF" w14:textId="77777777" w:rsidR="0023495B" w:rsidRPr="0023495B" w:rsidRDefault="0023495B" w:rsidP="0023495B">
      <w:pPr>
        <w:pStyle w:val="Listenabsatz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lernt mit jeder Anwendung und erkennt implizite Gesprächsinhalte. Das Know-how der einzelnen kommunalen </w:t>
      </w:r>
      <w:proofErr w:type="spellStart"/>
      <w:proofErr w:type="gramStart"/>
      <w:r w:rsidRPr="0023495B">
        <w:rPr>
          <w:rFonts w:ascii="Arial" w:hAnsi="Arial" w:cs="Arial"/>
          <w:sz w:val="20"/>
          <w:szCs w:val="20"/>
        </w:rPr>
        <w:t>Mitarbeiter:innen</w:t>
      </w:r>
      <w:proofErr w:type="spellEnd"/>
      <w:proofErr w:type="gramEnd"/>
      <w:r w:rsidRPr="0023495B">
        <w:rPr>
          <w:rFonts w:ascii="Arial" w:hAnsi="Arial" w:cs="Arial"/>
          <w:sz w:val="20"/>
          <w:szCs w:val="20"/>
        </w:rPr>
        <w:t xml:space="preserve"> fließt in den Mehrwert der Gesamtberatungsqualität des Welcome Centers ein. Hieraus lassen sich interne Einarbeitungs- oder Weiterbildungsinhalte erstellen.</w:t>
      </w:r>
    </w:p>
    <w:p w14:paraId="0D217DCD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E3D240" w14:textId="77777777" w:rsidR="0023495B" w:rsidRPr="0023495B" w:rsidRDefault="0023495B" w:rsidP="002349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5174">
        <w:rPr>
          <w:rFonts w:ascii="Arial" w:hAnsi="Arial" w:cs="Arial"/>
          <w:b/>
          <w:bCs/>
          <w:sz w:val="20"/>
          <w:szCs w:val="20"/>
          <w:u w:val="single"/>
        </w:rPr>
        <w:t>Fazit</w:t>
      </w:r>
      <w:r w:rsidRPr="0023495B">
        <w:rPr>
          <w:rFonts w:ascii="Arial" w:hAnsi="Arial" w:cs="Arial"/>
          <w:sz w:val="20"/>
          <w:szCs w:val="20"/>
        </w:rPr>
        <w:t xml:space="preserve">: Die Modularität von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ermöglicht multiple und sinnvolle Lösungen für spezifische Situationen in der Beratung von Personen aus Drittstaaten. Der Anwendungsfall definiert die Ausprägung der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-Lösung. Die Frage nach den Kosten </w:t>
      </w:r>
      <w:proofErr w:type="spellStart"/>
      <w:r w:rsidRPr="0023495B">
        <w:rPr>
          <w:rFonts w:ascii="Arial" w:hAnsi="Arial" w:cs="Arial"/>
          <w:sz w:val="20"/>
          <w:szCs w:val="20"/>
        </w:rPr>
        <w:t>lässt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sich auch nur durch einen definierten Use Case genau kalkulieren. Ergänzend ist zu erwähnen, </w:t>
      </w:r>
      <w:proofErr w:type="spellStart"/>
      <w:r w:rsidRPr="0023495B">
        <w:rPr>
          <w:rFonts w:ascii="Arial" w:hAnsi="Arial" w:cs="Arial"/>
          <w:sz w:val="20"/>
          <w:szCs w:val="20"/>
        </w:rPr>
        <w:t>dass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95B">
        <w:rPr>
          <w:rFonts w:ascii="Arial" w:hAnsi="Arial" w:cs="Arial"/>
          <w:sz w:val="20"/>
          <w:szCs w:val="20"/>
        </w:rPr>
        <w:t>SpeakSphere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aus der </w:t>
      </w:r>
      <w:proofErr w:type="spellStart"/>
      <w:r w:rsidRPr="0023495B">
        <w:rPr>
          <w:rFonts w:ascii="Arial" w:hAnsi="Arial" w:cs="Arial"/>
          <w:sz w:val="20"/>
          <w:szCs w:val="20"/>
        </w:rPr>
        <w:t>SupraTix</w:t>
      </w:r>
      <w:proofErr w:type="spellEnd"/>
      <w:r w:rsidRPr="0023495B">
        <w:rPr>
          <w:rFonts w:ascii="Arial" w:hAnsi="Arial" w:cs="Arial"/>
          <w:sz w:val="20"/>
          <w:szCs w:val="20"/>
        </w:rPr>
        <w:t xml:space="preserve"> GmbH hervorgegangen ist, einem Unternehmen, das seit über zehn Jahren Plattformkonzeptionen und Digitalisierung, auch für den kommunalen Sektor, etabliert.</w:t>
      </w:r>
    </w:p>
    <w:p w14:paraId="56236DF3" w14:textId="77777777" w:rsidR="0023495B" w:rsidRPr="00573D78" w:rsidRDefault="0023495B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5BCC9" w14:textId="05130E0F" w:rsidR="00722AF8" w:rsidRPr="00573D78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22AF8" w:rsidRPr="00573D78" w:rsidSect="00573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2C84" w14:textId="77777777" w:rsidR="00E91FE7" w:rsidRDefault="00E91FE7" w:rsidP="001B6603">
      <w:pPr>
        <w:spacing w:after="0" w:line="240" w:lineRule="auto"/>
      </w:pPr>
      <w:r>
        <w:separator/>
      </w:r>
    </w:p>
  </w:endnote>
  <w:endnote w:type="continuationSeparator" w:id="0">
    <w:p w14:paraId="40CD3B0A" w14:textId="77777777" w:rsidR="00E91FE7" w:rsidRDefault="00E91FE7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E65A" w14:textId="77777777" w:rsidR="0040744D" w:rsidRDefault="004074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541"/>
      <w:gridCol w:w="2977"/>
    </w:tblGrid>
    <w:tr w:rsidR="001B6603" w:rsidRPr="001B6603" w14:paraId="5E4B5605" w14:textId="77777777" w:rsidTr="00D87ABC">
      <w:tc>
        <w:tcPr>
          <w:tcW w:w="2547" w:type="dxa"/>
          <w:tcBorders>
            <w:right w:val="single" w:sz="4" w:space="0" w:color="auto"/>
          </w:tcBorders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proofErr w:type="spellStart"/>
          <w:r>
            <w:rPr>
              <w:sz w:val="16"/>
            </w:rPr>
            <w:t>SpeakSphere</w:t>
          </w:r>
          <w:proofErr w:type="spellEnd"/>
          <w:r>
            <w:rPr>
              <w:sz w:val="16"/>
            </w:rPr>
            <w:t xml:space="preserve">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proofErr w:type="spellStart"/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  <w:proofErr w:type="spellEnd"/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proofErr w:type="spellStart"/>
          <w:r w:rsidR="000B2843">
            <w:rPr>
              <w:sz w:val="16"/>
            </w:rPr>
            <w:t>speaksphere.com</w:t>
          </w:r>
          <w:proofErr w:type="spellEnd"/>
        </w:p>
      </w:tc>
      <w:tc>
        <w:tcPr>
          <w:tcW w:w="4541" w:type="dxa"/>
          <w:tcBorders>
            <w:left w:val="single" w:sz="4" w:space="0" w:color="auto"/>
            <w:right w:val="single" w:sz="4" w:space="0" w:color="auto"/>
          </w:tcBorders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Tobias </w:t>
          </w:r>
          <w:proofErr w:type="spellStart"/>
          <w:r>
            <w:rPr>
              <w:sz w:val="16"/>
            </w:rPr>
            <w:t>Göcke</w:t>
          </w:r>
          <w:proofErr w:type="spellEnd"/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B649389" w14:textId="77777777" w:rsidR="00D87ABC" w:rsidRDefault="00D87ABC" w:rsidP="00594C80">
          <w:pPr>
            <w:pStyle w:val="Fuzeile"/>
            <w:rPr>
              <w:sz w:val="16"/>
            </w:rPr>
          </w:pPr>
        </w:p>
        <w:p w14:paraId="4B266FCD" w14:textId="1FB7A680" w:rsidR="0040744D" w:rsidRDefault="0040744D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Amtsgericht Dresden</w:t>
          </w:r>
          <w:r w:rsidR="00D87ABC">
            <w:rPr>
              <w:sz w:val="16"/>
            </w:rPr>
            <w:t xml:space="preserve">                 </w:t>
          </w:r>
          <w:r>
            <w:rPr>
              <w:sz w:val="16"/>
            </w:rPr>
            <w:t>HRB 46833</w:t>
          </w:r>
        </w:p>
        <w:p w14:paraId="09D96E78" w14:textId="6EA9E510" w:rsidR="0040744D" w:rsidRPr="001B6603" w:rsidRDefault="003B3797" w:rsidP="00D87ABC">
          <w:pPr>
            <w:pStyle w:val="Fuzeile"/>
            <w:rPr>
              <w:sz w:val="16"/>
            </w:rPr>
          </w:pPr>
          <w:r>
            <w:rPr>
              <w:sz w:val="16"/>
            </w:rPr>
            <w:t>Steuer-Nr.: 202/118/00659</w:t>
          </w:r>
          <w:r w:rsidR="00D87ABC">
            <w:rPr>
              <w:sz w:val="16"/>
            </w:rPr>
            <w:t xml:space="preserve">      </w:t>
          </w:r>
          <w:proofErr w:type="spellStart"/>
          <w:r w:rsidR="0040744D">
            <w:rPr>
              <w:sz w:val="16"/>
            </w:rPr>
            <w:t>USt-IdNr</w:t>
          </w:r>
          <w:proofErr w:type="spellEnd"/>
          <w:r w:rsidR="0040744D">
            <w:rPr>
              <w:sz w:val="16"/>
            </w:rPr>
            <w:t xml:space="preserve">.: </w:t>
          </w:r>
          <w:proofErr w:type="spellStart"/>
          <w:r w:rsidR="0040744D">
            <w:rPr>
              <w:sz w:val="16"/>
            </w:rPr>
            <w:t>DE457481905</w:t>
          </w:r>
          <w:proofErr w:type="spellEnd"/>
        </w:p>
      </w:tc>
      <w:tc>
        <w:tcPr>
          <w:tcW w:w="2977" w:type="dxa"/>
          <w:tcBorders>
            <w:left w:val="single" w:sz="4" w:space="0" w:color="auto"/>
          </w:tcBorders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proofErr w:type="spellStart"/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  <w:proofErr w:type="spellEnd"/>
        </w:p>
      </w:tc>
    </w:tr>
  </w:tbl>
  <w:p w14:paraId="0B2FE7B2" w14:textId="77777777" w:rsidR="001B6603" w:rsidRDefault="001B66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08E5" w14:textId="77777777" w:rsidR="0040744D" w:rsidRDefault="00407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4D56" w14:textId="77777777" w:rsidR="00E91FE7" w:rsidRDefault="00E91FE7" w:rsidP="001B6603">
      <w:pPr>
        <w:spacing w:after="0" w:line="240" w:lineRule="auto"/>
      </w:pPr>
      <w:r>
        <w:separator/>
      </w:r>
    </w:p>
  </w:footnote>
  <w:footnote w:type="continuationSeparator" w:id="0">
    <w:p w14:paraId="1F56EBC0" w14:textId="77777777" w:rsidR="00E91FE7" w:rsidRDefault="00E91FE7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D9FF" w14:textId="77777777" w:rsidR="0040744D" w:rsidRDefault="004074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39EA" w14:textId="77777777" w:rsidR="0040744D" w:rsidRDefault="00407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45E6"/>
    <w:multiLevelType w:val="hybridMultilevel"/>
    <w:tmpl w:val="368AC1FA"/>
    <w:lvl w:ilvl="0" w:tplc="20BAD0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6653A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291771">
    <w:abstractNumId w:val="1"/>
  </w:num>
  <w:num w:numId="2" w16cid:durableId="63996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63F16"/>
    <w:rsid w:val="000952DB"/>
    <w:rsid w:val="000B2843"/>
    <w:rsid w:val="001717C2"/>
    <w:rsid w:val="001A0D31"/>
    <w:rsid w:val="001B6603"/>
    <w:rsid w:val="001E611C"/>
    <w:rsid w:val="00212898"/>
    <w:rsid w:val="0023495B"/>
    <w:rsid w:val="00364CB0"/>
    <w:rsid w:val="00376B67"/>
    <w:rsid w:val="003B3797"/>
    <w:rsid w:val="003D3B8D"/>
    <w:rsid w:val="0040744D"/>
    <w:rsid w:val="00451B2F"/>
    <w:rsid w:val="004801FC"/>
    <w:rsid w:val="00492E7D"/>
    <w:rsid w:val="00523C0A"/>
    <w:rsid w:val="00573D78"/>
    <w:rsid w:val="00594C80"/>
    <w:rsid w:val="0059743E"/>
    <w:rsid w:val="005C4AAB"/>
    <w:rsid w:val="005D723D"/>
    <w:rsid w:val="00657F47"/>
    <w:rsid w:val="00671771"/>
    <w:rsid w:val="006779BB"/>
    <w:rsid w:val="006928FE"/>
    <w:rsid w:val="00696DED"/>
    <w:rsid w:val="006B2267"/>
    <w:rsid w:val="006E373A"/>
    <w:rsid w:val="00722AF8"/>
    <w:rsid w:val="00731DAC"/>
    <w:rsid w:val="00736C9D"/>
    <w:rsid w:val="00782007"/>
    <w:rsid w:val="007E2581"/>
    <w:rsid w:val="007E787E"/>
    <w:rsid w:val="008166EF"/>
    <w:rsid w:val="00826877"/>
    <w:rsid w:val="008434DC"/>
    <w:rsid w:val="00902B15"/>
    <w:rsid w:val="009B3D23"/>
    <w:rsid w:val="009C0B56"/>
    <w:rsid w:val="009E06B7"/>
    <w:rsid w:val="009E5174"/>
    <w:rsid w:val="009E7B9C"/>
    <w:rsid w:val="009F2037"/>
    <w:rsid w:val="00A22D49"/>
    <w:rsid w:val="00A34026"/>
    <w:rsid w:val="00B93DFB"/>
    <w:rsid w:val="00BC5371"/>
    <w:rsid w:val="00BE6C3C"/>
    <w:rsid w:val="00C339B5"/>
    <w:rsid w:val="00CA1C83"/>
    <w:rsid w:val="00CA3191"/>
    <w:rsid w:val="00CF3750"/>
    <w:rsid w:val="00D87ABC"/>
    <w:rsid w:val="00E91FE7"/>
    <w:rsid w:val="00F405A4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  <w:style w:type="paragraph" w:styleId="Listenabsatz">
    <w:name w:val="List Paragraph"/>
    <w:basedOn w:val="Standard"/>
    <w:uiPriority w:val="34"/>
    <w:qFormat/>
    <w:rsid w:val="0023495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kreis-bautzen.de/zukunftsnavi-der-zentrale-infotag-zur-berufs-und-studienorientierung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5</cp:revision>
  <cp:lastPrinted>2025-11-03T17:09:00Z</cp:lastPrinted>
  <dcterms:created xsi:type="dcterms:W3CDTF">2025-11-03T17:08:00Z</dcterms:created>
  <dcterms:modified xsi:type="dcterms:W3CDTF">2025-11-03T17:09:00Z</dcterms:modified>
</cp:coreProperties>
</file>